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78" w:rsidRPr="002E457B" w:rsidRDefault="00101A78" w:rsidP="00101A78">
      <w:pPr>
        <w:pStyle w:val="NoSpacing"/>
        <w:jc w:val="center"/>
        <w:rPr>
          <w:rFonts w:ascii="Times New Roman" w:hAnsi="Times New Roman" w:cs="Times New Roman"/>
          <w:b/>
          <w:sz w:val="28"/>
          <w:szCs w:val="28"/>
        </w:rPr>
      </w:pPr>
      <w:r w:rsidRPr="002E457B">
        <w:rPr>
          <w:rFonts w:ascii="Times New Roman" w:hAnsi="Times New Roman" w:cs="Times New Roman"/>
          <w:b/>
          <w:sz w:val="28"/>
          <w:szCs w:val="28"/>
        </w:rPr>
        <w:t xml:space="preserve">Brazil: Nutrition Landscape </w:t>
      </w:r>
    </w:p>
    <w:p w:rsidR="002E457B" w:rsidRDefault="002E457B" w:rsidP="00101A78">
      <w:pPr>
        <w:pStyle w:val="NoSpacing"/>
        <w:jc w:val="center"/>
        <w:rPr>
          <w:rFonts w:ascii="Times New Roman" w:hAnsi="Times New Roman" w:cs="Times New Roman"/>
          <w:b/>
          <w:sz w:val="24"/>
          <w:szCs w:val="24"/>
        </w:rPr>
      </w:pPr>
    </w:p>
    <w:p w:rsidR="002E457B" w:rsidRPr="002E457B" w:rsidRDefault="002E457B" w:rsidP="00101A78">
      <w:pPr>
        <w:pStyle w:val="NoSpacing"/>
        <w:jc w:val="center"/>
        <w:rPr>
          <w:rFonts w:ascii="Times New Roman" w:hAnsi="Times New Roman" w:cs="Times New Roman"/>
          <w:sz w:val="24"/>
          <w:szCs w:val="24"/>
        </w:rPr>
      </w:pPr>
      <w:r w:rsidRPr="002E457B">
        <w:rPr>
          <w:rFonts w:ascii="Times New Roman" w:hAnsi="Times New Roman" w:cs="Times New Roman"/>
          <w:sz w:val="24"/>
          <w:szCs w:val="24"/>
        </w:rPr>
        <w:t>Anna Bondy</w:t>
      </w:r>
    </w:p>
    <w:p w:rsidR="002E457B" w:rsidRPr="002E457B" w:rsidRDefault="002E457B" w:rsidP="00101A78">
      <w:pPr>
        <w:pStyle w:val="NoSpacing"/>
        <w:jc w:val="center"/>
        <w:rPr>
          <w:rFonts w:ascii="Times New Roman" w:hAnsi="Times New Roman" w:cs="Times New Roman"/>
          <w:sz w:val="24"/>
          <w:szCs w:val="24"/>
        </w:rPr>
      </w:pPr>
    </w:p>
    <w:p w:rsidR="002E457B" w:rsidRPr="002E457B" w:rsidRDefault="002E457B" w:rsidP="00101A78">
      <w:pPr>
        <w:pStyle w:val="NoSpacing"/>
        <w:jc w:val="center"/>
        <w:rPr>
          <w:rFonts w:ascii="Times New Roman" w:hAnsi="Times New Roman" w:cs="Times New Roman"/>
          <w:sz w:val="24"/>
          <w:szCs w:val="24"/>
        </w:rPr>
      </w:pPr>
      <w:r w:rsidRPr="002E457B">
        <w:rPr>
          <w:rFonts w:ascii="Times New Roman" w:hAnsi="Times New Roman" w:cs="Times New Roman"/>
          <w:sz w:val="24"/>
          <w:szCs w:val="24"/>
        </w:rPr>
        <w:t>April 14, 2015</w:t>
      </w:r>
    </w:p>
    <w:p w:rsidR="00101A78" w:rsidRDefault="00101A78">
      <w:pPr>
        <w:rPr>
          <w:rFonts w:ascii="Times New Roman" w:hAnsi="Times New Roman" w:cs="Times New Roman"/>
          <w:b/>
          <w:sz w:val="24"/>
          <w:szCs w:val="24"/>
        </w:rPr>
      </w:pPr>
    </w:p>
    <w:p w:rsidR="00101A78" w:rsidRDefault="00101A78">
      <w:pPr>
        <w:rPr>
          <w:rFonts w:ascii="Times New Roman" w:hAnsi="Times New Roman" w:cs="Times New Roman"/>
          <w:b/>
          <w:sz w:val="24"/>
          <w:szCs w:val="24"/>
        </w:rPr>
      </w:pPr>
      <w:r>
        <w:rPr>
          <w:rFonts w:ascii="Times New Roman" w:hAnsi="Times New Roman" w:cs="Times New Roman"/>
          <w:b/>
          <w:sz w:val="24"/>
          <w:szCs w:val="24"/>
        </w:rPr>
        <w:t>Abstract</w:t>
      </w:r>
    </w:p>
    <w:p w:rsidR="00A625A2" w:rsidRDefault="00445508" w:rsidP="00774EC6">
      <w:pPr>
        <w:spacing w:line="240" w:lineRule="auto"/>
        <w:rPr>
          <w:rFonts w:ascii="Times New Roman" w:hAnsi="Times New Roman" w:cs="Times New Roman"/>
          <w:b/>
          <w:sz w:val="24"/>
          <w:szCs w:val="24"/>
        </w:rPr>
      </w:pPr>
      <w:r>
        <w:rPr>
          <w:rFonts w:ascii="Times New Roman" w:hAnsi="Times New Roman" w:cs="Times New Roman"/>
          <w:b/>
          <w:sz w:val="24"/>
          <w:szCs w:val="24"/>
        </w:rPr>
        <w:tab/>
      </w:r>
      <w:r w:rsidR="002E457B" w:rsidRPr="002E457B">
        <w:rPr>
          <w:rFonts w:ascii="Times New Roman" w:hAnsi="Times New Roman" w:cs="Times New Roman"/>
          <w:sz w:val="24"/>
          <w:szCs w:val="24"/>
        </w:rPr>
        <w:t>E</w:t>
      </w:r>
      <w:r w:rsidRPr="002E457B">
        <w:rPr>
          <w:rFonts w:ascii="Times New Roman" w:hAnsi="Times New Roman" w:cs="Times New Roman"/>
          <w:sz w:val="24"/>
          <w:szCs w:val="24"/>
        </w:rPr>
        <w:t>conomic and social improvements in Brazil have led to improved nutritional status</w:t>
      </w:r>
      <w:r w:rsidR="00387BA4">
        <w:rPr>
          <w:rFonts w:ascii="Times New Roman" w:hAnsi="Times New Roman" w:cs="Times New Roman"/>
          <w:sz w:val="24"/>
          <w:szCs w:val="24"/>
        </w:rPr>
        <w:t xml:space="preserve"> overall</w:t>
      </w:r>
      <w:r w:rsidR="002E457B">
        <w:rPr>
          <w:rFonts w:ascii="Times New Roman" w:hAnsi="Times New Roman" w:cs="Times New Roman"/>
          <w:sz w:val="24"/>
          <w:szCs w:val="24"/>
        </w:rPr>
        <w:t xml:space="preserve">, but not all of the improvements have been seen equally among all </w:t>
      </w:r>
      <w:r w:rsidR="0028177B">
        <w:rPr>
          <w:rFonts w:ascii="Times New Roman" w:hAnsi="Times New Roman" w:cs="Times New Roman"/>
          <w:sz w:val="24"/>
          <w:szCs w:val="24"/>
        </w:rPr>
        <w:t xml:space="preserve">regions and </w:t>
      </w:r>
      <w:r w:rsidR="002E457B">
        <w:rPr>
          <w:rFonts w:ascii="Times New Roman" w:hAnsi="Times New Roman" w:cs="Times New Roman"/>
          <w:sz w:val="24"/>
          <w:szCs w:val="24"/>
        </w:rPr>
        <w:t>groups</w:t>
      </w:r>
      <w:r w:rsidRPr="002E457B">
        <w:rPr>
          <w:rFonts w:ascii="Times New Roman" w:hAnsi="Times New Roman" w:cs="Times New Roman"/>
          <w:sz w:val="24"/>
          <w:szCs w:val="24"/>
        </w:rPr>
        <w:t>. Rates of und</w:t>
      </w:r>
      <w:r w:rsidR="002E457B" w:rsidRPr="002E457B">
        <w:rPr>
          <w:rFonts w:ascii="Times New Roman" w:hAnsi="Times New Roman" w:cs="Times New Roman"/>
          <w:sz w:val="24"/>
          <w:szCs w:val="24"/>
        </w:rPr>
        <w:t>erweight and stunting are down, but obesity is starting to become an issue, especially among women, and urban populations.</w:t>
      </w:r>
      <w:r w:rsidR="002E457B">
        <w:rPr>
          <w:rFonts w:ascii="Times New Roman" w:hAnsi="Times New Roman" w:cs="Times New Roman"/>
          <w:b/>
          <w:sz w:val="24"/>
          <w:szCs w:val="24"/>
        </w:rPr>
        <w:t xml:space="preserve"> </w:t>
      </w:r>
      <w:r w:rsidR="002E457B">
        <w:rPr>
          <w:rFonts w:ascii="Times New Roman" w:hAnsi="Times New Roman" w:cs="Times New Roman"/>
          <w:sz w:val="24"/>
          <w:szCs w:val="24"/>
        </w:rPr>
        <w:t>Vitamin A and iodine deficiency have also been found in segments of the population. Special attention needs to be paid to at-risk groups in rural areas of the north</w:t>
      </w:r>
      <w:r w:rsidR="0028177B">
        <w:rPr>
          <w:rFonts w:ascii="Times New Roman" w:hAnsi="Times New Roman" w:cs="Times New Roman"/>
          <w:sz w:val="24"/>
          <w:szCs w:val="24"/>
        </w:rPr>
        <w:t>east</w:t>
      </w:r>
      <w:r w:rsidR="002E457B">
        <w:rPr>
          <w:rFonts w:ascii="Times New Roman" w:hAnsi="Times New Roman" w:cs="Times New Roman"/>
          <w:sz w:val="24"/>
          <w:szCs w:val="24"/>
        </w:rPr>
        <w:t xml:space="preserve"> and urban areas in Rio de Janeiro and Sao Paulo to promote and protect the nutritional well-being of the Brazilian population.</w:t>
      </w:r>
      <w:r w:rsidRPr="002E457B">
        <w:rPr>
          <w:rFonts w:ascii="Times New Roman" w:hAnsi="Times New Roman" w:cs="Times New Roman"/>
          <w:b/>
          <w:sz w:val="24"/>
          <w:szCs w:val="24"/>
        </w:rPr>
        <w:t xml:space="preserve">  </w:t>
      </w:r>
    </w:p>
    <w:p w:rsidR="002E457B" w:rsidRDefault="002E457B">
      <w:pPr>
        <w:rPr>
          <w:rFonts w:ascii="Times New Roman" w:hAnsi="Times New Roman" w:cs="Times New Roman"/>
          <w:b/>
          <w:sz w:val="24"/>
          <w:szCs w:val="24"/>
        </w:rPr>
      </w:pPr>
      <w:r>
        <w:rPr>
          <w:rFonts w:ascii="Times New Roman" w:hAnsi="Times New Roman" w:cs="Times New Roman"/>
          <w:b/>
          <w:sz w:val="24"/>
          <w:szCs w:val="24"/>
        </w:rPr>
        <w:br w:type="page"/>
      </w:r>
    </w:p>
    <w:p w:rsidR="007E4D8E" w:rsidRPr="007E679C" w:rsidRDefault="007E4D8E" w:rsidP="00215E22">
      <w:pPr>
        <w:pStyle w:val="NoSpacing"/>
        <w:spacing w:line="360" w:lineRule="auto"/>
        <w:ind w:firstLine="720"/>
        <w:rPr>
          <w:rFonts w:ascii="Times New Roman" w:hAnsi="Times New Roman" w:cs="Times New Roman"/>
          <w:sz w:val="24"/>
          <w:szCs w:val="24"/>
        </w:rPr>
      </w:pPr>
      <w:r w:rsidRPr="007E679C">
        <w:rPr>
          <w:rFonts w:ascii="Times New Roman" w:hAnsi="Times New Roman" w:cs="Times New Roman"/>
          <w:sz w:val="24"/>
          <w:szCs w:val="24"/>
        </w:rPr>
        <w:lastRenderedPageBreak/>
        <w:t>According to the WHO, there were 200,362,000 people living in Brazil in 2013.</w:t>
      </w:r>
      <w:r w:rsidRPr="007E679C">
        <w:rPr>
          <w:rFonts w:ascii="Times New Roman" w:hAnsi="Times New Roman" w:cs="Times New Roman"/>
          <w:sz w:val="24"/>
          <w:szCs w:val="24"/>
        </w:rPr>
        <w:fldChar w:fldCharType="begin" w:fldLock="1"/>
      </w:r>
      <w:r w:rsidRPr="007E679C">
        <w:rPr>
          <w:rFonts w:ascii="Times New Roman" w:hAnsi="Times New Roman" w:cs="Times New Roman"/>
          <w:sz w:val="24"/>
          <w:szCs w:val="24"/>
        </w:rPr>
        <w:instrText>ADDIN CSL_CITATION { "citationItems" : [ { "id" : "ITEM-1", "itemData" : { "id" : "ITEM-1", "issued" : { "date-parts" : [ [ "2015" ] ] }, "title" : "Brazil: WHO Statistical profile", "type" : "report" }, "uris" : [ "http://www.mendeley.com/documents/?uuid=cae000e1-3fec-4f9f-9cd9-c5c18585218b" ] } ], "mendeley" : { "formattedCitation" : "&lt;sup&gt;1&lt;/sup&gt;", "plainTextFormattedCitation" : "1", "previouslyFormattedCitation" : "&lt;sup&gt;1&lt;/sup&gt;" }, "properties" : { "noteIndex" : 0 }, "schema" : "https://github.com/citation-style-language/schema/raw/master/csl-citation.json" }</w:instrText>
      </w:r>
      <w:r w:rsidRPr="007E679C">
        <w:rPr>
          <w:rFonts w:ascii="Times New Roman" w:hAnsi="Times New Roman" w:cs="Times New Roman"/>
          <w:sz w:val="24"/>
          <w:szCs w:val="24"/>
        </w:rPr>
        <w:fldChar w:fldCharType="separate"/>
      </w:r>
      <w:r w:rsidRPr="007E679C">
        <w:rPr>
          <w:rFonts w:ascii="Times New Roman" w:hAnsi="Times New Roman" w:cs="Times New Roman"/>
          <w:noProof/>
          <w:sz w:val="24"/>
          <w:szCs w:val="24"/>
          <w:vertAlign w:val="superscript"/>
        </w:rPr>
        <w:t>1</w:t>
      </w:r>
      <w:r w:rsidRPr="007E679C">
        <w:rPr>
          <w:rFonts w:ascii="Times New Roman" w:hAnsi="Times New Roman" w:cs="Times New Roman"/>
          <w:sz w:val="24"/>
          <w:szCs w:val="24"/>
        </w:rPr>
        <w:fldChar w:fldCharType="end"/>
      </w:r>
      <w:r w:rsidRPr="007E679C">
        <w:rPr>
          <w:rFonts w:ascii="Times New Roman" w:hAnsi="Times New Roman" w:cs="Times New Roman"/>
          <w:sz w:val="24"/>
          <w:szCs w:val="24"/>
        </w:rPr>
        <w:t xml:space="preserve"> </w:t>
      </w:r>
    </w:p>
    <w:p w:rsidR="00852996" w:rsidRDefault="007E4D8E" w:rsidP="00215E22">
      <w:pPr>
        <w:pStyle w:val="NoSpacing"/>
        <w:spacing w:line="360" w:lineRule="auto"/>
        <w:rPr>
          <w:rFonts w:ascii="Times New Roman" w:hAnsi="Times New Roman" w:cs="Times New Roman"/>
          <w:sz w:val="24"/>
          <w:szCs w:val="24"/>
        </w:rPr>
      </w:pPr>
      <w:r w:rsidRPr="007E679C">
        <w:rPr>
          <w:rFonts w:ascii="Times New Roman" w:hAnsi="Times New Roman" w:cs="Times New Roman"/>
          <w:sz w:val="24"/>
          <w:szCs w:val="24"/>
        </w:rPr>
        <w:t xml:space="preserve">Of these 200 million people, 11% are over the age of 60, and 24% are under the </w:t>
      </w:r>
      <w:r w:rsidR="006C28EB">
        <w:rPr>
          <w:rFonts w:ascii="Times New Roman" w:hAnsi="Times New Roman" w:cs="Times New Roman"/>
          <w:sz w:val="24"/>
          <w:szCs w:val="24"/>
        </w:rPr>
        <w:t>age of 15. The median age is 30 and</w:t>
      </w:r>
      <w:r w:rsidRPr="007E679C">
        <w:rPr>
          <w:rFonts w:ascii="Times New Roman" w:hAnsi="Times New Roman" w:cs="Times New Roman"/>
          <w:sz w:val="24"/>
          <w:szCs w:val="24"/>
        </w:rPr>
        <w:t xml:space="preserve"> 85% of the population lives in urban areas</w:t>
      </w:r>
      <w:r w:rsidRPr="007E679C">
        <w:rPr>
          <w:rFonts w:ascii="Times New Roman" w:hAnsi="Times New Roman" w:cs="Times New Roman"/>
          <w:sz w:val="24"/>
          <w:szCs w:val="24"/>
        </w:rPr>
        <w:fldChar w:fldCharType="begin" w:fldLock="1"/>
      </w:r>
      <w:r w:rsidRPr="007E679C">
        <w:rPr>
          <w:rFonts w:ascii="Times New Roman" w:hAnsi="Times New Roman" w:cs="Times New Roman"/>
          <w:sz w:val="24"/>
          <w:szCs w:val="24"/>
        </w:rPr>
        <w:instrText>ADDIN CSL_CITATION { "citationItems" : [ { "id" : "ITEM-1", "itemData" : { "id" : "ITEM-1", "issued" : { "date-parts" : [ [ "2015" ] ] }, "title" : "Brazil: WHO Statistical profile", "type" : "report" }, "uris" : [ "http://www.mendeley.com/documents/?uuid=cae000e1-3fec-4f9f-9cd9-c5c18585218b" ] } ], "mendeley" : { "formattedCitation" : "&lt;sup&gt;1&lt;/sup&gt;", "plainTextFormattedCitation" : "1", "previouslyFormattedCitation" : "&lt;sup&gt;1&lt;/sup&gt;" }, "properties" : { "noteIndex" : 0 }, "schema" : "https://github.com/citation-style-language/schema/raw/master/csl-citation.json" }</w:instrText>
      </w:r>
      <w:r w:rsidRPr="007E679C">
        <w:rPr>
          <w:rFonts w:ascii="Times New Roman" w:hAnsi="Times New Roman" w:cs="Times New Roman"/>
          <w:sz w:val="24"/>
          <w:szCs w:val="24"/>
        </w:rPr>
        <w:fldChar w:fldCharType="separate"/>
      </w:r>
      <w:r w:rsidRPr="007E679C">
        <w:rPr>
          <w:rFonts w:ascii="Times New Roman" w:hAnsi="Times New Roman" w:cs="Times New Roman"/>
          <w:noProof/>
          <w:sz w:val="24"/>
          <w:szCs w:val="24"/>
          <w:vertAlign w:val="superscript"/>
        </w:rPr>
        <w:t>1</w:t>
      </w:r>
      <w:r w:rsidRPr="007E679C">
        <w:rPr>
          <w:rFonts w:ascii="Times New Roman" w:hAnsi="Times New Roman" w:cs="Times New Roman"/>
          <w:sz w:val="24"/>
          <w:szCs w:val="24"/>
        </w:rPr>
        <w:fldChar w:fldCharType="end"/>
      </w:r>
      <w:r w:rsidRPr="007E679C">
        <w:rPr>
          <w:rFonts w:ascii="Times New Roman" w:hAnsi="Times New Roman" w:cs="Times New Roman"/>
          <w:sz w:val="24"/>
          <w:szCs w:val="24"/>
        </w:rPr>
        <w:t xml:space="preserve">. </w:t>
      </w:r>
      <w:r w:rsidRPr="007E679C">
        <w:rPr>
          <w:rFonts w:ascii="Times New Roman" w:hAnsi="Times New Roman" w:cs="Times New Roman"/>
          <w:sz w:val="24"/>
          <w:szCs w:val="24"/>
        </w:rPr>
        <w:tab/>
      </w:r>
    </w:p>
    <w:p w:rsidR="0044130C" w:rsidRDefault="0083542A" w:rsidP="00215E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The primary language spoken in Brazil is Portuguese, however Spanish, and several Amerindian languages are also spoken.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"URL" : "http://www.indexmundi.com/brazil/demographics_profile.html", "author" : [ { "dropping-particle" : "", "family" : "IndexMundi", "given" : "", "non-dropping-particle" : "", "parse-names" : false, "suffix" : "" } ], "id" : "ITEM-1", "issued" : { "date-parts" : [ [ "2014" ] ] }, "title" : "Brazil Demographics Profile 2014", "type" : "webpage" }, "uris" : [ "http://www.mendeley.com/documents/?uuid=07120d9e-6617-45d3-8611-8add2ef025ba" ] } ], "mendeley" : { "formattedCitation" : "&lt;sup&gt;2&lt;/sup&gt;", "plainTextFormattedCitation" : "2", "previouslyFormattedCitation" : "&lt;sup&gt;2&lt;/sup&gt;" }, "properties" : { "noteIndex" : 0 }, "schema" : "https://github.com/citation-style-language/schema/raw/master/csl-citation.json" }</w:instrText>
      </w:r>
      <w:r>
        <w:rPr>
          <w:rFonts w:ascii="Times New Roman" w:hAnsi="Times New Roman" w:cs="Times New Roman"/>
          <w:sz w:val="24"/>
          <w:szCs w:val="24"/>
        </w:rPr>
        <w:fldChar w:fldCharType="separate"/>
      </w:r>
      <w:r w:rsidRPr="0083542A">
        <w:rPr>
          <w:rFonts w:ascii="Times New Roman" w:hAnsi="Times New Roman" w:cs="Times New Roman"/>
          <w:noProof/>
          <w:sz w:val="24"/>
          <w:szCs w:val="24"/>
          <w:vertAlign w:val="superscript"/>
        </w:rPr>
        <w:t>2</w:t>
      </w:r>
      <w:r>
        <w:rPr>
          <w:rFonts w:ascii="Times New Roman" w:hAnsi="Times New Roman" w:cs="Times New Roman"/>
          <w:sz w:val="24"/>
          <w:szCs w:val="24"/>
        </w:rPr>
        <w:fldChar w:fldCharType="end"/>
      </w:r>
      <w:r>
        <w:rPr>
          <w:rFonts w:ascii="Times New Roman" w:hAnsi="Times New Roman" w:cs="Times New Roman"/>
          <w:sz w:val="24"/>
          <w:szCs w:val="24"/>
        </w:rPr>
        <w:t xml:space="preserve"> It is estimated that </w:t>
      </w:r>
      <w:r w:rsidR="006C28EB">
        <w:rPr>
          <w:rFonts w:ascii="Times New Roman" w:hAnsi="Times New Roman" w:cs="Times New Roman"/>
          <w:sz w:val="24"/>
          <w:szCs w:val="24"/>
        </w:rPr>
        <w:t xml:space="preserve">in 2010, </w:t>
      </w:r>
      <w:r>
        <w:rPr>
          <w:rFonts w:ascii="Times New Roman" w:hAnsi="Times New Roman" w:cs="Times New Roman"/>
          <w:sz w:val="24"/>
          <w:szCs w:val="24"/>
        </w:rPr>
        <w:t xml:space="preserve">the population was </w:t>
      </w:r>
      <w:r w:rsidR="006C28EB">
        <w:rPr>
          <w:rFonts w:ascii="Times New Roman" w:hAnsi="Times New Roman" w:cs="Times New Roman"/>
          <w:sz w:val="24"/>
          <w:szCs w:val="24"/>
        </w:rPr>
        <w:t xml:space="preserve">48% </w:t>
      </w:r>
      <w:r w:rsidR="00774EC6">
        <w:rPr>
          <w:rFonts w:ascii="Times New Roman" w:hAnsi="Times New Roman" w:cs="Times New Roman"/>
          <w:sz w:val="24"/>
          <w:szCs w:val="24"/>
        </w:rPr>
        <w:t>white, 8% B</w:t>
      </w:r>
      <w:r>
        <w:rPr>
          <w:rFonts w:ascii="Times New Roman" w:hAnsi="Times New Roman" w:cs="Times New Roman"/>
          <w:sz w:val="24"/>
          <w:szCs w:val="24"/>
        </w:rPr>
        <w:t>lack, 43% Pardo, 1.1% Asian and .4% indigenous.</w:t>
      </w:r>
      <w:r w:rsidR="006C28EB" w:rsidRPr="006C28EB">
        <w:rPr>
          <w:rFonts w:ascii="Times New Roman" w:hAnsi="Times New Roman" w:cs="Times New Roman"/>
          <w:sz w:val="24"/>
          <w:szCs w:val="24"/>
          <w:vertAlign w:val="superscript"/>
        </w:rPr>
        <w:t>A</w:t>
      </w:r>
      <w:r w:rsidR="006C28EB">
        <w:rPr>
          <w:rFonts w:ascii="Times New Roman" w:hAnsi="Times New Roman" w:cs="Times New Roman"/>
          <w:sz w:val="24"/>
          <w:szCs w:val="24"/>
          <w:vertAlign w:val="superscript"/>
        </w:rPr>
        <w: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"URL" : "http://www.indexmundi.com/brazil/demographics_profile.html", "author" : [ { "dropping-particle" : "", "family" : "IndexMundi", "given" : "", "non-dropping-particle" : "", "parse-names" : false, "suffix" : "" } ], "id" : "ITEM-1", "issued" : { "date-parts" : [ [ "2014" ] ] }, "title" : "Brazil Demographics Profile 2014", "type" : "webpage" }, "uris" : [ "http://www.mendeley.com/documents/?uuid=07120d9e-6617-45d3-8611-8add2ef025ba" ] } ], "mendeley" : { "formattedCitation" : "&lt;sup&gt;2&lt;/sup&gt;", "plainTextFormattedCitation" : "2", "previouslyFormattedCitation" : "&lt;sup&gt;2&lt;/sup&gt;" }, "properties" : { "noteIndex" : 0 }, "schema" : "https://github.com/citation-style-language/schema/raw/master/csl-citation.json" }</w:instrText>
      </w:r>
      <w:r>
        <w:rPr>
          <w:rFonts w:ascii="Times New Roman" w:hAnsi="Times New Roman" w:cs="Times New Roman"/>
          <w:sz w:val="24"/>
          <w:szCs w:val="24"/>
        </w:rPr>
        <w:fldChar w:fldCharType="separate"/>
      </w:r>
      <w:r w:rsidRPr="0083542A">
        <w:rPr>
          <w:rFonts w:ascii="Times New Roman" w:hAnsi="Times New Roman" w:cs="Times New Roman"/>
          <w:noProof/>
          <w:sz w:val="24"/>
          <w:szCs w:val="24"/>
          <w:vertAlign w:val="superscript"/>
        </w:rPr>
        <w:t>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74EC6">
        <w:rPr>
          <w:rFonts w:ascii="Times New Roman" w:hAnsi="Times New Roman" w:cs="Times New Roman"/>
          <w:sz w:val="24"/>
          <w:szCs w:val="24"/>
        </w:rPr>
        <w:t>In terms of health disparities, t</w:t>
      </w:r>
      <w:r w:rsidR="0044130C">
        <w:rPr>
          <w:rFonts w:ascii="Times New Roman" w:hAnsi="Times New Roman" w:cs="Times New Roman"/>
          <w:sz w:val="24"/>
          <w:szCs w:val="24"/>
        </w:rPr>
        <w:t>he 1998 National Household survey (PNAD) found no difference in self-assessed health status between Brazilians of different races, after controlling for education and income</w:t>
      </w:r>
      <w:r w:rsidR="00774EC6">
        <w:rPr>
          <w:rFonts w:ascii="Times New Roman" w:hAnsi="Times New Roman" w:cs="Times New Roman"/>
          <w:sz w:val="24"/>
          <w:szCs w:val="24"/>
        </w:rPr>
        <w:t>.</w:t>
      </w:r>
      <w:r w:rsidR="00774EC6" w:rsidRPr="00774EC6">
        <w:rPr>
          <w:rFonts w:ascii="Times New Roman" w:hAnsi="Times New Roman" w:cs="Times New Roman"/>
          <w:sz w:val="24"/>
          <w:szCs w:val="24"/>
        </w:rPr>
        <w:t xml:space="preserve"> </w:t>
      </w:r>
      <w:r w:rsidR="00774EC6">
        <w:rPr>
          <w:rFonts w:ascii="Times New Roman" w:hAnsi="Times New Roman" w:cs="Times New Roman"/>
          <w:sz w:val="24"/>
          <w:szCs w:val="24"/>
        </w:rPr>
        <w:fldChar w:fldCharType="begin" w:fldLock="1"/>
      </w:r>
      <w:r w:rsidR="00774EC6">
        <w:rPr>
          <w:rFonts w:ascii="Times New Roman" w:hAnsi="Times New Roman" w:cs="Times New Roman"/>
          <w:sz w:val="24"/>
          <w:szCs w:val="24"/>
        </w:rPr>
        <w:instrText>ADDIN CSL_CITATION { "citationItems" : [ { "id" : "ITEM-1", "itemData" : { "DOI" : "10.1590/S0102-311X2004000300003", "ISBN" : "0102-311X (Print)", "ISSN" : "0102-311X", "PMID" : "15263977", "abstract" : "Race has been widely used in studies on health and healthcare inequalities, especially in the United States. Validity and reliability problems with race measurement are of concern in public health. This article reviews the literature on the concept and measurement of race and compares how the findings apply to the United States and Brazil. We discuss in detail the data quality issues related to the measurement of race and the problems raised by measuring race in multiracial societies like Brazil. We discuss how these issues and problems apply to public health and make recommendations about the measurement of race in medical records and public health research.", "author" : [ { "dropping-particle" : "", "family" : "Travassos", "given" : "Claudia", "non-dropping-particle" : "", "parse-names" : false, "suffix" : "" }, { "dropping-particle" : "", "family" : "Williams", "given" : "David R", "non-dropping-particle" : "", "parse-names" : false, "suffix" : "" } ], "container-title" : "Cadernos de saude publica / Ministerio da Saude, Fundacao Oswaldo Cruz, Escola Nacional de Saude Publica", "id" : "ITEM-1", "issue" : "3", "issued" : { "date-parts" : [ [ "2004" ] ] }, "page" : "660-678", "title" : "The concept and measurement of race and their relationship to public health: a review focused on Brazil and the United States.", "type" : "article-journal", "volume" : "20" }, "uris" : [ "http://www.mendeley.com/documents/?uuid=4ae92b63-1134-4ca0-aaca-e31bae806625" ] } ], "mendeley" : { "formattedCitation" : "&lt;sup&gt;3&lt;/sup&gt;", "plainTextFormattedCitation" : "3" }, "properties" : { "noteIndex" : 0 }, "schema" : "https://github.com/citation-style-language/schema/raw/master/csl-citation.json" }</w:instrText>
      </w:r>
      <w:r w:rsidR="00774EC6">
        <w:rPr>
          <w:rFonts w:ascii="Times New Roman" w:hAnsi="Times New Roman" w:cs="Times New Roman"/>
          <w:sz w:val="24"/>
          <w:szCs w:val="24"/>
        </w:rPr>
        <w:fldChar w:fldCharType="separate"/>
      </w:r>
      <w:r w:rsidR="00774EC6" w:rsidRPr="0044130C">
        <w:rPr>
          <w:rFonts w:ascii="Times New Roman" w:hAnsi="Times New Roman" w:cs="Times New Roman"/>
          <w:noProof/>
          <w:sz w:val="24"/>
          <w:szCs w:val="24"/>
          <w:vertAlign w:val="superscript"/>
        </w:rPr>
        <w:t>3</w:t>
      </w:r>
      <w:r w:rsidR="00774EC6">
        <w:rPr>
          <w:rFonts w:ascii="Times New Roman" w:hAnsi="Times New Roman" w:cs="Times New Roman"/>
          <w:sz w:val="24"/>
          <w:szCs w:val="24"/>
        </w:rPr>
        <w:fldChar w:fldCharType="end"/>
      </w:r>
      <w:r w:rsidR="00774EC6">
        <w:rPr>
          <w:rFonts w:ascii="Times New Roman" w:hAnsi="Times New Roman" w:cs="Times New Roman"/>
          <w:sz w:val="24"/>
          <w:szCs w:val="24"/>
        </w:rPr>
        <w:t xml:space="preserve"> H</w:t>
      </w:r>
      <w:r w:rsidR="0044130C">
        <w:rPr>
          <w:rFonts w:ascii="Times New Roman" w:hAnsi="Times New Roman" w:cs="Times New Roman"/>
          <w:sz w:val="24"/>
          <w:szCs w:val="24"/>
        </w:rPr>
        <w:t>owever</w:t>
      </w:r>
      <w:r w:rsidR="00774EC6">
        <w:rPr>
          <w:rFonts w:ascii="Times New Roman" w:hAnsi="Times New Roman" w:cs="Times New Roman"/>
          <w:sz w:val="24"/>
          <w:szCs w:val="24"/>
        </w:rPr>
        <w:t>,</w:t>
      </w:r>
      <w:r w:rsidR="0044130C">
        <w:rPr>
          <w:rFonts w:ascii="Times New Roman" w:hAnsi="Times New Roman" w:cs="Times New Roman"/>
          <w:sz w:val="24"/>
          <w:szCs w:val="24"/>
        </w:rPr>
        <w:t xml:space="preserve"> data for infant mortality, and quality of care suggest worse outcomes for </w:t>
      </w:r>
      <w:r w:rsidR="00774EC6">
        <w:rPr>
          <w:rFonts w:ascii="Times New Roman" w:hAnsi="Times New Roman" w:cs="Times New Roman"/>
          <w:sz w:val="24"/>
          <w:szCs w:val="24"/>
        </w:rPr>
        <w:t>Blacks and P</w:t>
      </w:r>
      <w:r w:rsidR="0044130C">
        <w:rPr>
          <w:rFonts w:ascii="Times New Roman" w:hAnsi="Times New Roman" w:cs="Times New Roman"/>
          <w:sz w:val="24"/>
          <w:szCs w:val="24"/>
        </w:rPr>
        <w:t>ardos living in Brazil.</w:t>
      </w:r>
      <w:r w:rsidR="0044130C">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"DOI" : "10.1590/S0102-311X2004000300003", "ISBN" : "0102-311X (Print)", "ISSN" : "0102-311X", "PMID" : "15263977", "abstract" : "Race has been widely used in studies on health and healthcare inequalities, especially in the United States. Validity and reliability problems with race measurement are of concern in public health. This article reviews the literature on the concept and measurement of race and compares how the findings apply to the United States and Brazil. We discuss in detail the data quality issues related to the measurement of race and the problems raised by measuring race in multiracial societies like Brazil. We discuss how these issues and problems apply to public health and make recommendations about the measurement of race in medical records and public health research.", "author" : [ { "dropping-particle" : "", "family" : "Travassos", "given" : "Claudia", "non-dropping-particle" : "", "parse-names" : false, "suffix" : "" }, { "dropping-particle" : "", "family" : "Williams", "given" : "David R", "non-dropping-particle" : "", "parse-names" : false, "suffix" : "" } ], "container-title" : "Cadernos de saude publica / Ministerio da Saude, Fundacao Oswaldo Cruz, Escola Nacional de Saude Publica", "id" : "ITEM-1", "issue" : "3", "issued" : { "date-parts" : [ [ "2004" ] ] }, "page" : "660-678", "title" : "The concept and measurement of race and their relationship to public health: a review focused on Brazil and the United States.", "type" : "article-journal", "volume" : "20" }, "uris" : [ "http://www.mendeley.com/documents/?uuid=4ae92b63-1134-4ca0-aaca-e31bae806625" ] } ], "mendeley" : { "formattedCitation" : "&lt;sup&gt;3&lt;/sup&gt;", "plainTextFormattedCitation" : "3" }, "properties" : { "noteIndex" : 0 }, "schema" : "https://github.com/citation-style-language/schema/raw/master/csl-citation.json" }</w:instrText>
      </w:r>
      <w:r w:rsidR="0044130C">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3</w:t>
      </w:r>
      <w:r w:rsidR="0044130C">
        <w:rPr>
          <w:rFonts w:ascii="Times New Roman" w:hAnsi="Times New Roman" w:cs="Times New Roman"/>
          <w:sz w:val="24"/>
          <w:szCs w:val="24"/>
        </w:rPr>
        <w:fldChar w:fldCharType="end"/>
      </w:r>
    </w:p>
    <w:p w:rsidR="00FE5549" w:rsidRDefault="00A806B4" w:rsidP="00774EC6">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The southe</w:t>
      </w:r>
      <w:r w:rsidR="007E4D8E" w:rsidRPr="007E679C">
        <w:rPr>
          <w:rFonts w:ascii="Times New Roman" w:hAnsi="Times New Roman" w:cs="Times New Roman"/>
          <w:sz w:val="24"/>
          <w:szCs w:val="24"/>
        </w:rPr>
        <w:t>ast</w:t>
      </w:r>
      <w:r>
        <w:rPr>
          <w:rFonts w:ascii="Times New Roman" w:hAnsi="Times New Roman" w:cs="Times New Roman"/>
          <w:sz w:val="24"/>
          <w:szCs w:val="24"/>
        </w:rPr>
        <w:t>ern r</w:t>
      </w:r>
      <w:r w:rsidR="007E4D8E" w:rsidRPr="007E679C">
        <w:rPr>
          <w:rFonts w:ascii="Times New Roman" w:hAnsi="Times New Roman" w:cs="Times New Roman"/>
          <w:sz w:val="24"/>
          <w:szCs w:val="24"/>
        </w:rPr>
        <w:t>egion of Brazil is where much of the economic activities and industry are situated, and includes the</w:t>
      </w:r>
      <w:r w:rsidR="00467694">
        <w:rPr>
          <w:rFonts w:ascii="Times New Roman" w:hAnsi="Times New Roman" w:cs="Times New Roman"/>
          <w:sz w:val="24"/>
          <w:szCs w:val="24"/>
        </w:rPr>
        <w:t xml:space="preserve"> Brazil’s two largest</w:t>
      </w:r>
      <w:r w:rsidR="007E4D8E" w:rsidRPr="007E679C">
        <w:rPr>
          <w:rFonts w:ascii="Times New Roman" w:hAnsi="Times New Roman" w:cs="Times New Roman"/>
          <w:sz w:val="24"/>
          <w:szCs w:val="24"/>
        </w:rPr>
        <w:t xml:space="preserve"> cities of S</w:t>
      </w:r>
      <w:r>
        <w:rPr>
          <w:rFonts w:ascii="Times New Roman" w:hAnsi="Times New Roman" w:cs="Times New Roman"/>
          <w:sz w:val="24"/>
          <w:szCs w:val="24"/>
        </w:rPr>
        <w:t>ã</w:t>
      </w:r>
      <w:r w:rsidR="007E4D8E" w:rsidRPr="007E679C">
        <w:rPr>
          <w:rFonts w:ascii="Times New Roman" w:hAnsi="Times New Roman" w:cs="Times New Roman"/>
          <w:sz w:val="24"/>
          <w:szCs w:val="24"/>
        </w:rPr>
        <w:t xml:space="preserve">o Paulo, </w:t>
      </w:r>
      <w:r w:rsidR="00467694">
        <w:rPr>
          <w:rFonts w:ascii="Times New Roman" w:hAnsi="Times New Roman" w:cs="Times New Roman"/>
          <w:sz w:val="24"/>
          <w:szCs w:val="24"/>
        </w:rPr>
        <w:t xml:space="preserve">and </w:t>
      </w:r>
      <w:r w:rsidR="007E4D8E" w:rsidRPr="007E679C">
        <w:rPr>
          <w:rFonts w:ascii="Times New Roman" w:hAnsi="Times New Roman" w:cs="Times New Roman"/>
          <w:sz w:val="24"/>
          <w:szCs w:val="24"/>
        </w:rPr>
        <w:t>Rio de Ja</w:t>
      </w:r>
      <w:r w:rsidR="00467694">
        <w:rPr>
          <w:rFonts w:ascii="Times New Roman" w:hAnsi="Times New Roman" w:cs="Times New Roman"/>
          <w:sz w:val="24"/>
          <w:szCs w:val="24"/>
        </w:rPr>
        <w:t>n</w:t>
      </w:r>
      <w:r>
        <w:rPr>
          <w:rFonts w:ascii="Times New Roman" w:hAnsi="Times New Roman" w:cs="Times New Roman"/>
          <w:sz w:val="24"/>
          <w:szCs w:val="24"/>
        </w:rPr>
        <w:t>e</w:t>
      </w:r>
      <w:r w:rsidR="00467694">
        <w:rPr>
          <w:rFonts w:ascii="Times New Roman" w:hAnsi="Times New Roman" w:cs="Times New Roman"/>
          <w:sz w:val="24"/>
          <w:szCs w:val="24"/>
        </w:rPr>
        <w:t>i</w:t>
      </w:r>
      <w:r>
        <w:rPr>
          <w:rFonts w:ascii="Times New Roman" w:hAnsi="Times New Roman" w:cs="Times New Roman"/>
          <w:sz w:val="24"/>
          <w:szCs w:val="24"/>
        </w:rPr>
        <w:t>ro. The s</w:t>
      </w:r>
      <w:r w:rsidR="007E4D8E" w:rsidRPr="007E679C">
        <w:rPr>
          <w:rFonts w:ascii="Times New Roman" w:hAnsi="Times New Roman" w:cs="Times New Roman"/>
          <w:sz w:val="24"/>
          <w:szCs w:val="24"/>
        </w:rPr>
        <w:t>outh</w:t>
      </w:r>
      <w:r>
        <w:rPr>
          <w:rFonts w:ascii="Times New Roman" w:hAnsi="Times New Roman" w:cs="Times New Roman"/>
          <w:sz w:val="24"/>
          <w:szCs w:val="24"/>
        </w:rPr>
        <w:t>ern</w:t>
      </w:r>
      <w:r w:rsidR="007E4D8E" w:rsidRPr="007E679C">
        <w:rPr>
          <w:rFonts w:ascii="Times New Roman" w:hAnsi="Times New Roman" w:cs="Times New Roman"/>
          <w:sz w:val="24"/>
          <w:szCs w:val="24"/>
        </w:rPr>
        <w:t xml:space="preserve"> region</w:t>
      </w:r>
      <w:r>
        <w:rPr>
          <w:rFonts w:ascii="Times New Roman" w:hAnsi="Times New Roman" w:cs="Times New Roman"/>
          <w:sz w:val="24"/>
          <w:szCs w:val="24"/>
        </w:rPr>
        <w:t xml:space="preserve"> is also highly developed. </w:t>
      </w:r>
      <w:r w:rsidR="00774EC6">
        <w:rPr>
          <w:rFonts w:ascii="Times New Roman" w:hAnsi="Times New Roman" w:cs="Times New Roman"/>
          <w:sz w:val="24"/>
          <w:szCs w:val="24"/>
        </w:rPr>
        <w:t>The west c</w:t>
      </w:r>
      <w:r w:rsidR="00774EC6" w:rsidRPr="007E679C">
        <w:rPr>
          <w:rFonts w:ascii="Times New Roman" w:hAnsi="Times New Roman" w:cs="Times New Roman"/>
          <w:sz w:val="24"/>
          <w:szCs w:val="24"/>
        </w:rPr>
        <w:t>entr</w:t>
      </w:r>
      <w:r w:rsidR="00774EC6">
        <w:rPr>
          <w:rFonts w:ascii="Times New Roman" w:hAnsi="Times New Roman" w:cs="Times New Roman"/>
          <w:sz w:val="24"/>
          <w:szCs w:val="24"/>
        </w:rPr>
        <w:t>al r</w:t>
      </w:r>
      <w:r w:rsidR="00774EC6" w:rsidRPr="007E679C">
        <w:rPr>
          <w:rFonts w:ascii="Times New Roman" w:hAnsi="Times New Roman" w:cs="Times New Roman"/>
          <w:sz w:val="24"/>
          <w:szCs w:val="24"/>
        </w:rPr>
        <w:t>egion is sparsely populated, but does contain the nation’s capital, Brasilia, and several reservations for native Indian tribes</w:t>
      </w:r>
      <w:r w:rsidR="00774EC6">
        <w:rPr>
          <w:rFonts w:ascii="Times New Roman" w:hAnsi="Times New Roman" w:cs="Times New Roman"/>
          <w:sz w:val="24"/>
          <w:szCs w:val="24"/>
        </w:rPr>
        <w:t xml:space="preserve">. </w:t>
      </w:r>
      <w:r>
        <w:rPr>
          <w:rFonts w:ascii="Times New Roman" w:hAnsi="Times New Roman" w:cs="Times New Roman"/>
          <w:sz w:val="24"/>
          <w:szCs w:val="24"/>
        </w:rPr>
        <w:t>The northern r</w:t>
      </w:r>
      <w:r w:rsidR="007E4D8E" w:rsidRPr="007E679C">
        <w:rPr>
          <w:rFonts w:ascii="Times New Roman" w:hAnsi="Times New Roman" w:cs="Times New Roman"/>
          <w:sz w:val="24"/>
          <w:szCs w:val="24"/>
        </w:rPr>
        <w:t>egion includes much of the Amazon rainforest and is undergoing conservation efforts which discourage farming an</w:t>
      </w:r>
      <w:r>
        <w:rPr>
          <w:rFonts w:ascii="Times New Roman" w:hAnsi="Times New Roman" w:cs="Times New Roman"/>
          <w:sz w:val="24"/>
          <w:szCs w:val="24"/>
        </w:rPr>
        <w:t xml:space="preserve">d industry. </w:t>
      </w:r>
      <w:r w:rsidR="00774EC6">
        <w:rPr>
          <w:rFonts w:ascii="Times New Roman" w:hAnsi="Times New Roman" w:cs="Times New Roman"/>
          <w:sz w:val="24"/>
          <w:szCs w:val="24"/>
        </w:rPr>
        <w:t>The northeast r</w:t>
      </w:r>
      <w:r w:rsidR="00774EC6" w:rsidRPr="007E679C">
        <w:rPr>
          <w:rFonts w:ascii="Times New Roman" w:hAnsi="Times New Roman" w:cs="Times New Roman"/>
          <w:sz w:val="24"/>
          <w:szCs w:val="24"/>
        </w:rPr>
        <w:t>egion contains about 30% of the population. Although the land</w:t>
      </w:r>
      <w:r w:rsidR="00774EC6">
        <w:rPr>
          <w:rFonts w:ascii="Times New Roman" w:hAnsi="Times New Roman" w:cs="Times New Roman"/>
          <w:sz w:val="24"/>
          <w:szCs w:val="24"/>
        </w:rPr>
        <w:t xml:space="preserve"> is</w:t>
      </w:r>
      <w:r w:rsidR="00774EC6" w:rsidRPr="007E679C">
        <w:rPr>
          <w:rFonts w:ascii="Times New Roman" w:hAnsi="Times New Roman" w:cs="Times New Roman"/>
          <w:sz w:val="24"/>
          <w:szCs w:val="24"/>
        </w:rPr>
        <w:t xml:space="preserve"> not suitable for farming due to frequent droughts, the land may b</w:t>
      </w:r>
      <w:r w:rsidR="00774EC6">
        <w:rPr>
          <w:rFonts w:ascii="Times New Roman" w:hAnsi="Times New Roman" w:cs="Times New Roman"/>
          <w:sz w:val="24"/>
          <w:szCs w:val="24"/>
        </w:rPr>
        <w:t>e a rich source of oil.</w:t>
      </w:r>
      <w:r w:rsidR="00774EC6" w:rsidRPr="00774EC6">
        <w:rPr>
          <w:rFonts w:ascii="Times New Roman" w:hAnsi="Times New Roman" w:cs="Times New Roman"/>
          <w:sz w:val="24"/>
          <w:szCs w:val="24"/>
        </w:rPr>
        <w:t xml:space="preserve"> </w:t>
      </w:r>
      <w:r w:rsidR="00774EC6" w:rsidRPr="007E679C">
        <w:rPr>
          <w:rFonts w:ascii="Times New Roman" w:hAnsi="Times New Roman" w:cs="Times New Roman"/>
          <w:sz w:val="24"/>
          <w:szCs w:val="24"/>
        </w:rPr>
        <w:fldChar w:fldCharType="begin" w:fldLock="1"/>
      </w:r>
      <w:r w:rsidR="00774EC6">
        <w:rPr>
          <w:rFonts w:ascii="Times New Roman" w:hAnsi="Times New Roman" w:cs="Times New Roman"/>
          <w:sz w:val="24"/>
          <w:szCs w:val="24"/>
        </w:rPr>
        <w:instrText>ADDIN CSL_CITATION { "citationItems" : [ { "id" : "ITEM-1", "itemData" : { "URL" : "http://www.brazil.org.nz/page/five-regions.aspx", "accessed" : { "date-parts" : [ [ "2015", "4", "6" ] ] }, "id" : "ITEM-1", "issued" : { "date-parts" : [ [ "2015" ] ] }, "page" : "5-6", "title" : "5 Regions of Brazil", "type" : "webpage" }, "uris" : [ "http://www.mendeley.com/documents/?uuid=30e85e9e-0a23-4a46-b0f6-3b6afbf98e3b" ] } ], "mendeley" : { "formattedCitation" : "&lt;sup&gt;4&lt;/sup&gt;", "plainTextFormattedCitation" : "4", "previouslyFormattedCitation" : "&lt;sup&gt;3&lt;/sup&gt;" }, "properties" : { "noteIndex" : 0 }, "schema" : "https://github.com/citation-style-language/schema/raw/master/csl-citation.json" }</w:instrText>
      </w:r>
      <w:r w:rsidR="00774EC6" w:rsidRPr="007E679C">
        <w:rPr>
          <w:rFonts w:ascii="Times New Roman" w:hAnsi="Times New Roman" w:cs="Times New Roman"/>
          <w:sz w:val="24"/>
          <w:szCs w:val="24"/>
        </w:rPr>
        <w:fldChar w:fldCharType="separate"/>
      </w:r>
      <w:r w:rsidR="00774EC6" w:rsidRPr="0044130C">
        <w:rPr>
          <w:rFonts w:ascii="Times New Roman" w:hAnsi="Times New Roman" w:cs="Times New Roman"/>
          <w:noProof/>
          <w:sz w:val="24"/>
          <w:szCs w:val="24"/>
          <w:vertAlign w:val="superscript"/>
        </w:rPr>
        <w:t>4</w:t>
      </w:r>
      <w:r w:rsidR="00774EC6" w:rsidRPr="007E679C">
        <w:rPr>
          <w:rFonts w:ascii="Times New Roman" w:hAnsi="Times New Roman" w:cs="Times New Roman"/>
          <w:sz w:val="24"/>
          <w:szCs w:val="24"/>
        </w:rPr>
        <w:fldChar w:fldCharType="end"/>
      </w:r>
      <w:r w:rsidR="00774EC6">
        <w:rPr>
          <w:rFonts w:ascii="Times New Roman" w:hAnsi="Times New Roman" w:cs="Times New Roman"/>
          <w:sz w:val="24"/>
          <w:szCs w:val="24"/>
        </w:rPr>
        <w:t xml:space="preserve"> </w:t>
      </w:r>
      <w:r w:rsidR="00A625A2">
        <w:rPr>
          <w:rFonts w:ascii="Times New Roman" w:hAnsi="Times New Roman" w:cs="Times New Roman"/>
          <w:sz w:val="24"/>
          <w:szCs w:val="24"/>
        </w:rPr>
        <w:t>The northeastern region is of particular concern because it has the lowest income, the highest rate of illiteracy among those older than 15</w:t>
      </w:r>
      <w:r w:rsidR="0083542A">
        <w:rPr>
          <w:rFonts w:ascii="Times New Roman" w:hAnsi="Times New Roman" w:cs="Times New Roman"/>
          <w:sz w:val="24"/>
          <w:szCs w:val="24"/>
        </w:rPr>
        <w:t xml:space="preserve"> years</w:t>
      </w:r>
      <w:r w:rsidR="00A625A2">
        <w:rPr>
          <w:rFonts w:ascii="Times New Roman" w:hAnsi="Times New Roman" w:cs="Times New Roman"/>
          <w:sz w:val="24"/>
          <w:szCs w:val="24"/>
        </w:rPr>
        <w:t>, and</w:t>
      </w:r>
      <w:r w:rsidR="0083542A">
        <w:rPr>
          <w:rFonts w:ascii="Times New Roman" w:hAnsi="Times New Roman" w:cs="Times New Roman"/>
          <w:sz w:val="24"/>
          <w:szCs w:val="24"/>
        </w:rPr>
        <w:t xml:space="preserve"> the highest rate </w:t>
      </w:r>
      <w:r w:rsidR="00A625A2">
        <w:rPr>
          <w:rFonts w:ascii="Times New Roman" w:hAnsi="Times New Roman" w:cs="Times New Roman"/>
          <w:sz w:val="24"/>
          <w:szCs w:val="24"/>
        </w:rPr>
        <w:t>of infant mortality.</w:t>
      </w:r>
      <w:r w:rsidR="00A625A2">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"author" : [ { "dropping-particle" : "", "family" : "Os\u00f3rio", "given" : "M\u00f4nica M.", "non-dropping-particle" : "", "parse-names" : false, "suffix" : "" }, { "dropping-particle" : "", "family" : "Lira", "given" : "Pedro I. C.", "non-dropping-particle" : "", "parse-names" : false, "suffix" : "" }, { "dropping-particle" : "", "family" : "BatistaFilho", "given" : "Malaquias", "non-dropping-particle" : "", "parse-names" : false, "suffix" : "" }, { "dropping-particle" : "", "family" : "Ashworth", "given" : "Ann", "non-dropping-particle" : "", "parse-names" : false, "suffix" : "" } ], "id" : "ITEM-1", "issue" : "2", "issued" : { "date-parts" : [ [ "2001" ] ] }, "page" : "2-9", "title" : "Prevalence of anemia in children 6 \u00ad- 59 months old in the state of Pernambuco, Brazil", "type" : "article-journal", "volume" : "10" }, "uris" : [ "http://www.mendeley.com/documents/?uuid=07ed1c0c-ba35-4b55-884e-73cb9d56569e" ] } ], "mendeley" : { "formattedCitation" : "&lt;sup&gt;5&lt;/sup&gt;", "plainTextFormattedCitation" : "5", "previouslyFormattedCitation" : "&lt;sup&gt;4&lt;/sup&gt;" }, "properties" : { "noteIndex" : 0 }, "schema" : "https://github.com/citation-style-language/schema/raw/master/csl-citation.json" }</w:instrText>
      </w:r>
      <w:r w:rsidR="00A625A2">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5</w:t>
      </w:r>
      <w:r w:rsidR="00A625A2">
        <w:rPr>
          <w:rFonts w:ascii="Times New Roman" w:hAnsi="Times New Roman" w:cs="Times New Roman"/>
          <w:sz w:val="24"/>
          <w:szCs w:val="24"/>
        </w:rPr>
        <w:fldChar w:fldCharType="end"/>
      </w:r>
      <w:r w:rsidR="00A625A2">
        <w:rPr>
          <w:rFonts w:ascii="Times New Roman" w:hAnsi="Times New Roman" w:cs="Times New Roman"/>
          <w:sz w:val="24"/>
          <w:szCs w:val="24"/>
        </w:rPr>
        <w:t xml:space="preserve"> This region includes 9 states – Maranhão, Piauí, Ce</w:t>
      </w:r>
      <w:r w:rsidR="00D46174">
        <w:rPr>
          <w:rFonts w:ascii="Times New Roman" w:hAnsi="Times New Roman" w:cs="Times New Roman"/>
          <w:sz w:val="24"/>
          <w:szCs w:val="24"/>
        </w:rPr>
        <w:t>ará, Rio Grande do Norte, Paraíb</w:t>
      </w:r>
      <w:r w:rsidR="00A625A2">
        <w:rPr>
          <w:rFonts w:ascii="Times New Roman" w:hAnsi="Times New Roman" w:cs="Times New Roman"/>
          <w:sz w:val="24"/>
          <w:szCs w:val="24"/>
        </w:rPr>
        <w:t>a, Pernambuco</w:t>
      </w:r>
      <w:r w:rsidR="0083542A">
        <w:rPr>
          <w:rFonts w:ascii="Times New Roman" w:hAnsi="Times New Roman" w:cs="Times New Roman"/>
          <w:sz w:val="24"/>
          <w:szCs w:val="24"/>
        </w:rPr>
        <w:t>,</w:t>
      </w:r>
      <w:r w:rsidR="00A625A2">
        <w:rPr>
          <w:rFonts w:ascii="Times New Roman" w:hAnsi="Times New Roman" w:cs="Times New Roman"/>
          <w:sz w:val="24"/>
          <w:szCs w:val="24"/>
        </w:rPr>
        <w:t xml:space="preserve"> Alaggas Sergipe, and Bahia.</w:t>
      </w:r>
      <w:r w:rsidR="0028177B">
        <w:rPr>
          <w:rFonts w:ascii="Times New Roman" w:hAnsi="Times New Roman" w:cs="Times New Roman"/>
          <w:sz w:val="24"/>
          <w:szCs w:val="24"/>
        </w:rPr>
        <w:t xml:space="preserve"> </w:t>
      </w:r>
    </w:p>
    <w:p w:rsidR="00D72058" w:rsidRPr="007E679C" w:rsidRDefault="00D72058" w:rsidP="00215E22">
      <w:pPr>
        <w:pStyle w:val="NoSpacing"/>
        <w:spacing w:line="360" w:lineRule="auto"/>
        <w:ind w:firstLine="720"/>
        <w:rPr>
          <w:rFonts w:ascii="Times New Roman" w:hAnsi="Times New Roman" w:cs="Times New Roman"/>
          <w:sz w:val="24"/>
          <w:szCs w:val="24"/>
        </w:rPr>
      </w:pPr>
      <w:r w:rsidRPr="007E679C">
        <w:rPr>
          <w:rFonts w:ascii="Times New Roman" w:hAnsi="Times New Roman" w:cs="Times New Roman"/>
          <w:sz w:val="24"/>
          <w:szCs w:val="24"/>
        </w:rPr>
        <w:t>Historically, stunting has been a major issue for Brazil.</w:t>
      </w:r>
      <w:r w:rsidR="003E2918" w:rsidRPr="003E2918">
        <w:rPr>
          <w:rFonts w:ascii="Times New Roman" w:hAnsi="Times New Roman" w:cs="Times New Roman"/>
          <w:sz w:val="24"/>
          <w:szCs w:val="24"/>
          <w:vertAlign w:val="superscript"/>
        </w:rPr>
        <w:t>D</w:t>
      </w:r>
      <w:r w:rsidRPr="007E679C">
        <w:rPr>
          <w:rFonts w:ascii="Times New Roman" w:hAnsi="Times New Roman" w:cs="Times New Roman"/>
          <w:sz w:val="24"/>
          <w:szCs w:val="24"/>
        </w:rPr>
        <w:t xml:space="preserve"> In 1987, the prevalence of stunting was 27% in the northeast region of Brazil.</w:t>
      </w:r>
      <w:r w:rsidRPr="007E679C">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"DOI" : "10.1590/S0034-8910.2014048004828", "ISSN" : "00348910", "author" : [ { "dropping-particle" : "", "family" : "Correia", "given" : "Luciano Lima", "non-dropping-particle" : "", "parse-names" : false, "suffix" : "" }, { "dropping-particle" : "", "family" : "E Silva", "given" : "Anamaria Cavalcante", "non-dropping-particle" : "", "parse-names" : false, "suffix" : "" }, { "dropping-particle" : "", "family" : "Sales Campos", "given" : "Jocileide", "non-dropping-particle" : "", "parse-names" : false, "suffix" : "" }, { "dropping-particle" : "", "family" : "Andrade", "given" : "Francisca Maria De Oliveira", "non-dropping-particle" : "", "parse-names" : false, "suffix" : "" }, { "dropping-particle" : "", "family" : "Machado", "given" : "M\u00e1rcia Maria Tavares", "non-dropping-particle" : "", "parse-names" : false, "suffix" : "" }, { "dropping-particle" : "", "family" : "Lindsay", "given" : "Ana Cristina", "non-dropping-particle" : "", "parse-names" : false, "suffix" : "" }, { "dropping-particle" : "", "family" : "Leite", "given" : "\u00c1lvaro Jorge Madeiro", "non-dropping-particle" : "", "parse-names" : false, "suffix" : "" }, { "dropping-particle" : "", "family" : "Rocha", "given" : "Hermano Alexandre Lima", "non-dropping-particle" : "", "parse-names" : false, "suffix" : "" }, { "dropping-particle" : "", "family" : "Cunha", "given" : "Antonio Jos\u00e9 Ledo Alves", "non-dropping-particle" : "da", "parse-names" : false, "suffix" : "" } ], "container-title" : "Revista de Saude Publica", "id" : "ITEM-1", "issue" : "1", "issued" : { "date-parts" : [ [ "2014" ] ] }, "page" : "19-28", "title" : "Prevalence and determinants of child undernutrition and stunting in semiarid region of Brazil", "type" : "article-journal", "volume" : "48" }, "uris" : [ "http://www.mendeley.com/documents/?uuid=ae8a7321-6258-47a0-b788-89d4a2aa273c" ] } ], "mendeley" : { "formattedCitation" : "&lt;sup&gt;6&lt;/sup&gt;", "plainTextFormattedCitation" : "6", "previouslyFormattedCitation" : "&lt;sup&gt;5&lt;/sup&gt;" }, "properties" : { "noteIndex" : 0 }, "schema" : "https://github.com/citation-style-language/schema/raw/master/csl-citation.json" }</w:instrText>
      </w:r>
      <w:r w:rsidRPr="007E679C">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6</w:t>
      </w:r>
      <w:r w:rsidRPr="007E679C">
        <w:rPr>
          <w:rFonts w:ascii="Times New Roman" w:hAnsi="Times New Roman" w:cs="Times New Roman"/>
          <w:sz w:val="24"/>
          <w:szCs w:val="24"/>
        </w:rPr>
        <w:fldChar w:fldCharType="end"/>
      </w:r>
      <w:r w:rsidRPr="007E679C">
        <w:rPr>
          <w:rFonts w:ascii="Times New Roman" w:hAnsi="Times New Roman" w:cs="Times New Roman"/>
          <w:sz w:val="24"/>
          <w:szCs w:val="24"/>
        </w:rPr>
        <w:t xml:space="preserve"> Since then, improvements such as universal healthcare, increased educational attainment and increased purchasing power in low-income families has contributed to decreased rates of stunting.</w:t>
      </w:r>
      <w:r w:rsidRPr="007E679C">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"DOI" : "10.1017/S1368980011001315", "ISBN" : "1475-2727 (Electronic)\\r1368-9800 (Linking)", "ISSN" : "1368-9800", "PMID" : "21752311", "abstract" : "OBJECTIVE: To quantify the prevalence and trends of stunting among children using the WHO growth standards.\\n\\nDESIGN: Five hundred and seventy-six nationally representative surveys, including anthropometric data, were analysed. Stunting was defined as the proportion of children below -2sd from the WHO length- or height-for-age standards median. Linear mixed-effects modelling was used to estimate rates and numbers of affected children from 1990 to 2010, and projections to 2020.\\n\\nSETTING: One hundred and forty-eight developed and developing countries.\\n\\nSUBJECTS: Boys and girls from birth to 60 months.\\n\\nRESULTS: In 2010, it is estimated that 171 million children (167 million in developing countries) were stunted. Globally, childhood stunting decreased from 39\u00b77 (95 % CI 38\u00b71, 41\u00b74) % in 1990 to 26\u00b77 (95 % CI 24\u00b78, 28\u00b77) % in 2010. This trend is expected to reach 21\u00b78 (95 % CI 19\u00b78, 23\u00b78) %, or 142 million, in 2020. While in Africa stunting has stagnated since 1990 at about 40 % and little improvement is anticipated, Asia showed a dramatic decrease from 49 % in 1990 to 28 % in 2010, nearly halving the number of stunted children from 190 million to 100 million. It is anticipated that this trend will continue and that in 2020 Asia and Africa will have similar numbers of stunted children (68 million and 64 million, respectively). Rates are much lower (14 % or 7 million in 2010) in Latin America.\\n\\nCONCLUSIONS: Despite an overall decrease in developing countries, stunting remains a major public health problem in many of them. The data summarize progress achieved in the last two decades and help identify regions needing effective interventions.", "author" : [ { "dropping-particle" : "", "family" : "Onis", "given" : "Mercedes", "non-dropping-particle" : "de", "parse-names" : false, "suffix" : "" }, { "dropping-particle" : "", "family" : "Bl\u00f6ssner", "given" : "Monika", "non-dropping-particle" : "", "parse-names" : false, "suffix" : "" }, { "dropping-particle" : "", "family" : "Borghi", "given" : "Elaine", "non-dropping-particle" : "", "parse-names" : false, "suffix" : "" } ], "container-title" : "Public Health Nutrition", "id" : "ITEM-1", "issue" : "01", "issued" : { "date-parts" : [ [ "2012" ] ] }, "page" : "142-148", "title" : "Prevalence and trends of stunting among pre-school children, 1990\u20132020", "type" : "article-journal", "volume" : "15" }, "uris" : [ "http://www.mendeley.com/documents/?uuid=61dcf1c6-ddda-4daf-a475-f71e764d675d" ] } ], "mendeley" : { "formattedCitation" : "&lt;sup&gt;7&lt;/sup&gt;", "plainTextFormattedCitation" : "7", "previouslyFormattedCitation" : "&lt;sup&gt;6&lt;/sup&gt;" }, "properties" : { "noteIndex" : 0 }, "schema" : "https://github.com/citation-style-language/schema/raw/master/csl-citation.json" }</w:instrText>
      </w:r>
      <w:r w:rsidRPr="007E679C">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7</w:t>
      </w:r>
      <w:r w:rsidRPr="007E679C">
        <w:rPr>
          <w:rFonts w:ascii="Times New Roman" w:hAnsi="Times New Roman" w:cs="Times New Roman"/>
          <w:sz w:val="24"/>
          <w:szCs w:val="24"/>
        </w:rPr>
        <w:fldChar w:fldCharType="end"/>
      </w:r>
      <w:r w:rsidRPr="007E679C">
        <w:rPr>
          <w:rFonts w:ascii="Times New Roman" w:hAnsi="Times New Roman" w:cs="Times New Roman"/>
          <w:sz w:val="24"/>
          <w:szCs w:val="24"/>
        </w:rPr>
        <w:t xml:space="preserve"> In 2007, the</w:t>
      </w:r>
      <w:r w:rsidR="0028177B">
        <w:rPr>
          <w:rFonts w:ascii="Times New Roman" w:hAnsi="Times New Roman" w:cs="Times New Roman"/>
          <w:sz w:val="24"/>
          <w:szCs w:val="24"/>
        </w:rPr>
        <w:t xml:space="preserve"> prevalence of stunting in the</w:t>
      </w:r>
      <w:r w:rsidRPr="007E679C">
        <w:rPr>
          <w:rFonts w:ascii="Times New Roman" w:hAnsi="Times New Roman" w:cs="Times New Roman"/>
          <w:sz w:val="24"/>
          <w:szCs w:val="24"/>
        </w:rPr>
        <w:t xml:space="preserve"> northeast region was estimated </w:t>
      </w:r>
      <w:r w:rsidR="0028177B">
        <w:rPr>
          <w:rFonts w:ascii="Times New Roman" w:hAnsi="Times New Roman" w:cs="Times New Roman"/>
          <w:sz w:val="24"/>
          <w:szCs w:val="24"/>
        </w:rPr>
        <w:t xml:space="preserve">at </w:t>
      </w:r>
      <w:r w:rsidRPr="007E679C">
        <w:rPr>
          <w:rFonts w:ascii="Times New Roman" w:hAnsi="Times New Roman" w:cs="Times New Roman"/>
          <w:sz w:val="24"/>
          <w:szCs w:val="24"/>
        </w:rPr>
        <w:t>13%</w:t>
      </w:r>
      <w:r w:rsidR="0028177B">
        <w:rPr>
          <w:rFonts w:ascii="Times New Roman" w:hAnsi="Times New Roman" w:cs="Times New Roman"/>
          <w:sz w:val="24"/>
          <w:szCs w:val="24"/>
        </w:rPr>
        <w:t>.</w:t>
      </w:r>
      <w:r w:rsidRPr="007E679C">
        <w:rPr>
          <w:rFonts w:ascii="Times New Roman" w:hAnsi="Times New Roman" w:cs="Times New Roman"/>
          <w:sz w:val="24"/>
          <w:szCs w:val="24"/>
        </w:rPr>
        <w:t xml:space="preserve"> </w:t>
      </w:r>
      <w:r w:rsidR="0028177B">
        <w:rPr>
          <w:rFonts w:ascii="Times New Roman" w:hAnsi="Times New Roman" w:cs="Times New Roman"/>
          <w:sz w:val="24"/>
          <w:szCs w:val="24"/>
        </w:rPr>
        <w:t>T</w:t>
      </w:r>
      <w:r w:rsidRPr="007E679C">
        <w:rPr>
          <w:rFonts w:ascii="Times New Roman" w:hAnsi="Times New Roman" w:cs="Times New Roman"/>
          <w:sz w:val="24"/>
          <w:szCs w:val="24"/>
        </w:rPr>
        <w:t>he overall rate of change</w:t>
      </w:r>
      <w:r w:rsidR="0028177B">
        <w:rPr>
          <w:rFonts w:ascii="Times New Roman" w:hAnsi="Times New Roman" w:cs="Times New Roman"/>
          <w:sz w:val="24"/>
          <w:szCs w:val="24"/>
        </w:rPr>
        <w:t xml:space="preserve"> for stunting was</w:t>
      </w:r>
      <w:r w:rsidRPr="007E679C">
        <w:rPr>
          <w:rFonts w:ascii="Times New Roman" w:hAnsi="Times New Roman" w:cs="Times New Roman"/>
          <w:sz w:val="24"/>
          <w:szCs w:val="24"/>
        </w:rPr>
        <w:t xml:space="preserve"> -6.7% for the entire country</w:t>
      </w:r>
      <w:r w:rsidR="0028177B">
        <w:rPr>
          <w:rFonts w:ascii="Times New Roman" w:hAnsi="Times New Roman" w:cs="Times New Roman"/>
          <w:sz w:val="24"/>
          <w:szCs w:val="24"/>
        </w:rPr>
        <w:t>, indicating steady improvement between 1986 - 1996</w:t>
      </w:r>
      <w:r w:rsidRPr="007E679C">
        <w:rPr>
          <w:rFonts w:ascii="Times New Roman" w:hAnsi="Times New Roman" w:cs="Times New Roman"/>
          <w:sz w:val="24"/>
          <w:szCs w:val="24"/>
        </w:rPr>
        <w:t>.</w:t>
      </w:r>
      <w:r w:rsidRPr="007E679C">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"DOI" : "10.1590/S0034-8910.2014048004828", "ISSN" : "00348910", "author" : [ { "dropping-particle" : "", "family" : "Correia", "given" : "Luciano Lima", "non-dropping-particle" : "", "parse-names" : false, "suffix" : "" }, { "dropping-particle" : "", "family" : "E Silva", "given" : "Anamaria Cavalcante", "non-dropping-particle" : "", "parse-names" : false, "suffix" : "" }, { "dropping-particle" : "", "family" : "Sales Campos", "given" : "Jocileide", "non-dropping-particle" : "", "parse-names" : false, "suffix" : "" }, { "dropping-particle" : "", "family" : "Andrade", "given" : "Francisca Maria De Oliveira", "non-dropping-particle" : "", "parse-names" : false, "suffix" : "" }, { "dropping-particle" : "", "family" : "Machado", "given" : "M\u00e1rcia Maria Tavares", "non-dropping-particle" : "", "parse-names" : false, "suffix" : "" }, { "dropping-particle" : "", "family" : "Lindsay", "given" : "Ana Cristina", "non-dropping-particle" : "", "parse-names" : false, "suffix" : "" }, { "dropping-particle" : "", "family" : "Leite", "given" : "\u00c1lvaro Jorge Madeiro", "non-dropping-particle" : "", "parse-names" : false, "suffix" : "" }, { "dropping-particle" : "", "family" : "Rocha", "given" : "Hermano Alexandre Lima", "non-dropping-particle" : "", "parse-names" : false, "suffix" : "" }, { "dropping-particle" : "", "family" : "Cunha", "given" : "Antonio Jos\u00e9 Ledo Alves", "non-dropping-particle" : "da", "parse-names" : false, "suffix" : "" } ], "container-title" : "Revista de Saude Publica", "id" : "ITEM-1", "issue" : "1", "issued" : { "date-parts" : [ [ "2014" ] ] }, "page" : "19-28", "title" : "Prevalence and determinants of child undernutrition and stunting in semiarid region of Brazil", "type" : "article-journal", "volume" : "48" }, "uris" : [ "http://www.mendeley.com/documents/?uuid=ae8a7321-6258-47a0-b788-89d4a2aa273c" ] }, { "id" : "ITEM-2", "itemData" : { "DOI" : "10.1017/S1368980014002924", "ISSN" : "1368-9800", "author" : [ { "dropping-particle" : "", "family" : "Restrepo-M\u00e9ndez", "given" : "Mar\u00eda Clara", "non-dropping-particle" : "", "parse-names" : false, "suffix" : "" }, { "dropping-particle" : "", "family" : "Barros", "given" : "Alu\u00edsio Jd", "non-dropping-particle" : "", "parse-names" : false, "suffix" : "" }, { "dropping-particle" : "", "family" : "Black", "given" : "Robert E", "non-dropping-particle" : "", "parse-names" : false, "suffix" : "" }, { "dropping-particle" : "", "family" : "Victora", "given" : "Cesar G", "non-dropping-particle" : "", "parse-names" : false, "suffix" : "" } ], "container-title" : "Public Health Nutrition", "id" : "ITEM-2", "issue" : "5", "issued" : { "date-parts" : [ [ "2014" ] ] }, "page" : "1-8", "title" : "Time trends in socio-economic inequalities in stunting prevalence: analyses of repeated national surveys", "type" : "article-journal" }, "uris" : [ "http://www.mendeley.com/documents/?uuid=cfe68e62-c526-4946-9c3c-b2e0d0de2704" ] } ], "mendeley" : { "formattedCitation" : "&lt;sup&gt;6,8&lt;/sup&gt;", "plainTextFormattedCitation" : "6,8", "previouslyFormattedCitation" : "&lt;sup&gt;5,7&lt;/sup&gt;" }, "properties" : { "noteIndex" : 0 }, "schema" : "https://github.com/citation-style-language/schema/raw/master/csl-citation.json" }</w:instrText>
      </w:r>
      <w:r w:rsidRPr="007E679C">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6,8</w:t>
      </w:r>
      <w:r w:rsidRPr="007E679C">
        <w:rPr>
          <w:rFonts w:ascii="Times New Roman" w:hAnsi="Times New Roman" w:cs="Times New Roman"/>
          <w:sz w:val="24"/>
          <w:szCs w:val="24"/>
        </w:rPr>
        <w:fldChar w:fldCharType="end"/>
      </w:r>
      <w:r w:rsidRPr="007E679C">
        <w:rPr>
          <w:rFonts w:ascii="Times New Roman" w:hAnsi="Times New Roman" w:cs="Times New Roman"/>
          <w:sz w:val="24"/>
          <w:szCs w:val="24"/>
        </w:rPr>
        <w:t xml:space="preserve"> Brazil has been especially successful in narrowing the gap between the lowest and highest income families in terms of stunting.</w:t>
      </w:r>
      <w:r w:rsidRPr="007E679C">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"DOI" : "10.1017/S1368980014002924", "ISSN" : "1368-9800", "author" : [ { "dropping-particle" : "", "family" : "Restrepo-M\u00e9ndez", "given" : "Mar\u00eda Clara", "non-dropping-particle" : "", "parse-names" : false, "suffix" : "" }, { "dropping-particle" : "", "family" : "Barros", "given" : "Alu\u00edsio Jd", "non-dropping-particle" : "", "parse-names" : false, "suffix" : "" }, { "dropping-particle" : "", "family" : "Black", "given" : "Robert E", "non-dropping-particle" : "", "parse-names" : false, "suffix" : "" }, { "dropping-particle" : "", "family" : "Victora", "given" : "Cesar G", "non-dropping-particle" : "", "parse-names" : false, "suffix" : "" } ], "container-title" : "Public Health Nutrition", "id" : "ITEM-1", "issue" : "5", "issued" : { "date-parts" : [ [ "2014" ] ] }, "page" : "1-8", "title" : "Time trends in socio-economic inequalities in stunting prevalence: analyses of repeated national surveys", "type" : "article-journal" }, "uris" : [ "http://www.mendeley.com/documents/?uuid=cfe68e62-c526-4946-9c3c-b2e0d0de2704" ] } ], "mendeley" : { "formattedCitation" : "&lt;sup&gt;8&lt;/sup&gt;", "plainTextFormattedCitation" : "8", "previouslyFormattedCitation" : "&lt;sup&gt;7&lt;/sup&gt;" }, "properties" : { "noteIndex" : 0 }, "schema" : "https://github.com/citation-style-language/schema/raw/master/csl-citation.json" }</w:instrText>
      </w:r>
      <w:r w:rsidRPr="007E679C">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8</w:t>
      </w:r>
      <w:r w:rsidRPr="007E679C">
        <w:rPr>
          <w:rFonts w:ascii="Times New Roman" w:hAnsi="Times New Roman" w:cs="Times New Roman"/>
          <w:sz w:val="24"/>
          <w:szCs w:val="24"/>
        </w:rPr>
        <w:fldChar w:fldCharType="end"/>
      </w:r>
      <w:r w:rsidR="000B09E5">
        <w:rPr>
          <w:rFonts w:ascii="Times New Roman" w:hAnsi="Times New Roman" w:cs="Times New Roman"/>
          <w:sz w:val="24"/>
          <w:szCs w:val="24"/>
        </w:rPr>
        <w:t xml:space="preserve"> (See Table 1.1)</w:t>
      </w:r>
    </w:p>
    <w:p w:rsidR="00B84E77" w:rsidRPr="007E679C" w:rsidRDefault="00D72058" w:rsidP="00215E22">
      <w:pPr>
        <w:pStyle w:val="NoSpacing"/>
        <w:spacing w:line="360" w:lineRule="auto"/>
        <w:ind w:firstLine="720"/>
        <w:rPr>
          <w:rFonts w:ascii="Times New Roman" w:hAnsi="Times New Roman" w:cs="Times New Roman"/>
          <w:sz w:val="24"/>
          <w:szCs w:val="24"/>
        </w:rPr>
      </w:pPr>
      <w:r w:rsidRPr="007E679C">
        <w:rPr>
          <w:rFonts w:ascii="Times New Roman" w:hAnsi="Times New Roman" w:cs="Times New Roman"/>
          <w:sz w:val="24"/>
          <w:szCs w:val="24"/>
        </w:rPr>
        <w:t>T</w:t>
      </w:r>
      <w:r w:rsidR="007E4D8E" w:rsidRPr="007E679C">
        <w:rPr>
          <w:rFonts w:ascii="Times New Roman" w:hAnsi="Times New Roman" w:cs="Times New Roman"/>
          <w:sz w:val="24"/>
          <w:szCs w:val="24"/>
        </w:rPr>
        <w:t xml:space="preserve">he number of undernourished </w:t>
      </w:r>
      <w:r w:rsidRPr="007E679C">
        <w:rPr>
          <w:rFonts w:ascii="Times New Roman" w:hAnsi="Times New Roman" w:cs="Times New Roman"/>
          <w:sz w:val="24"/>
          <w:szCs w:val="24"/>
        </w:rPr>
        <w:t xml:space="preserve">individuals </w:t>
      </w:r>
      <w:r w:rsidR="007E4D8E" w:rsidRPr="007E679C">
        <w:rPr>
          <w:rFonts w:ascii="Times New Roman" w:hAnsi="Times New Roman" w:cs="Times New Roman"/>
          <w:sz w:val="24"/>
          <w:szCs w:val="24"/>
        </w:rPr>
        <w:t>is also decreasing.</w:t>
      </w:r>
      <w:r w:rsidR="007E4D8E" w:rsidRPr="007E679C">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"DOI" : "10.2105/AJPH.94.3.433", "ISBN" : "0090-0036 (Print)\\r0090-0036 (Linking)", "ISSN" : "00900036", "PMID" : "14998807", "abstract" : "On the basis of 3 comparable population-based surveys conducted in Brazil, we identified clear changes in the relative magnitude of women's undernutrition and overnutrition. In 1975, there were almost 2 cases of underweight to 1 case of obesity, whereas in 1997, there were more than 2 cases of obesity to 1 case of underweight. In 1997, Brazilian low-income women were significantly more susceptible than high-income women to both underweight and obesity.", "author" : [ { "dropping-particle" : "", "family" : "Monteiro", "given" : "Carlos A.", "non-dropping-particle" : "", "parse-names" : false, "suffix" : "" }, { "dropping-particle" : "", "family" : "Conde", "given" : "Wolney L.", "non-dropping-particle" : "", "parse-names" : false, "suffix" : "" }, { "dropping-particle" : "", "family" : "Popkin", "given" : "Barry M.", "non-dropping-particle" : "", "parse-names" : false, "suffix" : "" } ], "container-title" : "American Journal of Public Health", "id" : "ITEM-1", "issue" : "3", "issued" : { "date-parts" : [ [ "2004" ] ] }, "page" : "433-434", "title" : "The Burden of Disease from Undernutrition and Overnutrition in Countries Undergoing Rapid Nutrition Transition: A View from Brazil", "type" : "article-journal", "volume" : "94" }, "uris" : [ "http://www.mendeley.com/documents/?uuid=bdfe9f74-a8ce-45af-b28e-9fd6f8c6a585" ] } ], "mendeley" : { "formattedCitation" : "&lt;sup&gt;9&lt;/sup&gt;", "plainTextFormattedCitation" : "9", "previouslyFormattedCitation" : "&lt;sup&gt;8&lt;/sup&gt;" }, "properties" : { "noteIndex" : 0 }, "schema" : "https://github.com/citation-style-language/schema/raw/master/csl-citation.json" }</w:instrText>
      </w:r>
      <w:r w:rsidR="007E4D8E" w:rsidRPr="007E679C">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9</w:t>
      </w:r>
      <w:r w:rsidR="007E4D8E" w:rsidRPr="007E679C">
        <w:rPr>
          <w:rFonts w:ascii="Times New Roman" w:hAnsi="Times New Roman" w:cs="Times New Roman"/>
          <w:sz w:val="24"/>
          <w:szCs w:val="24"/>
        </w:rPr>
        <w:fldChar w:fldCharType="end"/>
      </w:r>
      <w:r w:rsidR="007E4D8E" w:rsidRPr="007E679C">
        <w:rPr>
          <w:rFonts w:ascii="Times New Roman" w:hAnsi="Times New Roman" w:cs="Times New Roman"/>
          <w:sz w:val="24"/>
          <w:szCs w:val="24"/>
        </w:rPr>
        <w:t xml:space="preserve"> </w:t>
      </w:r>
      <w:r w:rsidR="00B84E77" w:rsidRPr="007E679C">
        <w:rPr>
          <w:rFonts w:ascii="Times New Roman" w:hAnsi="Times New Roman" w:cs="Times New Roman"/>
          <w:sz w:val="24"/>
          <w:szCs w:val="24"/>
        </w:rPr>
        <w:t xml:space="preserve">The rates of wasting </w:t>
      </w:r>
      <w:r w:rsidR="00B654AD">
        <w:rPr>
          <w:rFonts w:ascii="Times New Roman" w:hAnsi="Times New Roman" w:cs="Times New Roman"/>
          <w:sz w:val="24"/>
          <w:szCs w:val="24"/>
        </w:rPr>
        <w:t xml:space="preserve">in children under 5 years </w:t>
      </w:r>
      <w:r w:rsidR="00B84E77" w:rsidRPr="007E679C">
        <w:rPr>
          <w:rFonts w:ascii="Times New Roman" w:hAnsi="Times New Roman" w:cs="Times New Roman"/>
          <w:sz w:val="24"/>
          <w:szCs w:val="24"/>
        </w:rPr>
        <w:t>decreased from 5% in 1975 to 2% in 1989 and 1996.</w:t>
      </w:r>
      <w:r w:rsidR="003E2918" w:rsidRPr="003E2918">
        <w:rPr>
          <w:rFonts w:ascii="Times New Roman" w:hAnsi="Times New Roman" w:cs="Times New Roman"/>
          <w:sz w:val="24"/>
          <w:szCs w:val="24"/>
          <w:vertAlign w:val="superscript"/>
        </w:rPr>
        <w:t>F</w:t>
      </w:r>
      <w:r w:rsidR="003E2918">
        <w:rPr>
          <w:rFonts w:ascii="Times New Roman" w:hAnsi="Times New Roman" w:cs="Times New Roman"/>
          <w:sz w:val="24"/>
          <w:szCs w:val="24"/>
          <w:vertAlign w:val="superscript"/>
        </w:rPr>
        <w:t>,</w:t>
      </w:r>
      <w:r w:rsidR="00B84E77" w:rsidRPr="007E679C">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"id" : "ITEM-1", "issued" : { "date-parts" : [ [ "2000" ] ] }, "publisher-place" : "Rome, Italy", "title" : "FAO - Nutrition Country Profiles: Brazil", "type" : "report" }, "uris" : [ "http://www.mendeley.com/documents/?uuid=2d681cd3-8702-464d-8001-33ad7afa6881" ] } ], "mendeley" : { "formattedCitation" : "&lt;sup&gt;10&lt;/sup&gt;", "plainTextFormattedCitation" : "10", "previouslyFormattedCitation" : "&lt;sup&gt;9&lt;/sup&gt;" }, "properties" : { "noteIndex" : 0 }, "schema" : "https://github.com/citation-style-language/schema/raw/master/csl-citation.json" }</w:instrText>
      </w:r>
      <w:r w:rsidR="00B84E77" w:rsidRPr="007E679C">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10</w:t>
      </w:r>
      <w:r w:rsidR="00B84E77" w:rsidRPr="007E679C">
        <w:rPr>
          <w:rFonts w:ascii="Times New Roman" w:hAnsi="Times New Roman" w:cs="Times New Roman"/>
          <w:sz w:val="24"/>
          <w:szCs w:val="24"/>
        </w:rPr>
        <w:fldChar w:fldCharType="end"/>
      </w:r>
      <w:r w:rsidR="00E904BB">
        <w:rPr>
          <w:rFonts w:ascii="Times New Roman" w:hAnsi="Times New Roman" w:cs="Times New Roman"/>
          <w:sz w:val="24"/>
          <w:szCs w:val="24"/>
        </w:rPr>
        <w:t xml:space="preserve"> </w:t>
      </w:r>
      <w:r w:rsidR="00B84E77" w:rsidRPr="007E679C">
        <w:rPr>
          <w:rFonts w:ascii="Times New Roman" w:hAnsi="Times New Roman" w:cs="Times New Roman"/>
          <w:sz w:val="24"/>
          <w:szCs w:val="24"/>
        </w:rPr>
        <w:t xml:space="preserve">The rates of </w:t>
      </w:r>
      <w:r w:rsidR="00B84E77" w:rsidRPr="007E679C">
        <w:rPr>
          <w:rFonts w:ascii="Times New Roman" w:hAnsi="Times New Roman" w:cs="Times New Roman"/>
          <w:sz w:val="24"/>
          <w:szCs w:val="24"/>
        </w:rPr>
        <w:lastRenderedPageBreak/>
        <w:t>underweight</w:t>
      </w:r>
      <w:r w:rsidR="00B654AD">
        <w:rPr>
          <w:rFonts w:ascii="Times New Roman" w:hAnsi="Times New Roman" w:cs="Times New Roman"/>
          <w:sz w:val="24"/>
          <w:szCs w:val="24"/>
        </w:rPr>
        <w:t xml:space="preserve"> in children under 5</w:t>
      </w:r>
      <w:r w:rsidR="00B84E77" w:rsidRPr="007E679C">
        <w:rPr>
          <w:rFonts w:ascii="Times New Roman" w:hAnsi="Times New Roman" w:cs="Times New Roman"/>
          <w:sz w:val="24"/>
          <w:szCs w:val="24"/>
        </w:rPr>
        <w:t xml:space="preserve"> </w:t>
      </w:r>
      <w:r w:rsidR="00B654AD">
        <w:rPr>
          <w:rFonts w:ascii="Times New Roman" w:hAnsi="Times New Roman" w:cs="Times New Roman"/>
          <w:sz w:val="24"/>
          <w:szCs w:val="24"/>
        </w:rPr>
        <w:t xml:space="preserve">years </w:t>
      </w:r>
      <w:r w:rsidR="00B84E77" w:rsidRPr="007E679C">
        <w:rPr>
          <w:rFonts w:ascii="Times New Roman" w:hAnsi="Times New Roman" w:cs="Times New Roman"/>
          <w:sz w:val="24"/>
          <w:szCs w:val="24"/>
        </w:rPr>
        <w:t>decreased from 18% in 1975  to 7% in 1989 to 6% in 1996.</w:t>
      </w:r>
      <w:r w:rsidR="003E2918" w:rsidRPr="003E2918">
        <w:rPr>
          <w:rFonts w:ascii="Times New Roman" w:hAnsi="Times New Roman" w:cs="Times New Roman"/>
          <w:sz w:val="24"/>
          <w:szCs w:val="24"/>
          <w:vertAlign w:val="superscript"/>
        </w:rPr>
        <w:t>E,</w:t>
      </w:r>
      <w:r w:rsidR="00B84E77" w:rsidRPr="007E679C">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"id" : "ITEM-1", "issued" : { "date-parts" : [ [ "2000" ] ] }, "publisher-place" : "Rome, Italy", "title" : "FAO - Nutrition Country Profiles: Brazil", "type" : "report" }, "uris" : [ "http://www.mendeley.com/documents/?uuid=2d681cd3-8702-464d-8001-33ad7afa6881" ] } ], "mendeley" : { "formattedCitation" : "&lt;sup&gt;10&lt;/sup&gt;", "plainTextFormattedCitation" : "10", "previouslyFormattedCitation" : "&lt;sup&gt;9&lt;/sup&gt;" }, "properties" : { "noteIndex" : 0 }, "schema" : "https://github.com/citation-style-language/schema/raw/master/csl-citation.json" }</w:instrText>
      </w:r>
      <w:r w:rsidR="00B84E77" w:rsidRPr="007E679C">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10</w:t>
      </w:r>
      <w:r w:rsidR="00B84E77" w:rsidRPr="007E679C">
        <w:rPr>
          <w:rFonts w:ascii="Times New Roman" w:hAnsi="Times New Roman" w:cs="Times New Roman"/>
          <w:sz w:val="24"/>
          <w:szCs w:val="24"/>
        </w:rPr>
        <w:fldChar w:fldCharType="end"/>
      </w:r>
      <w:r w:rsidR="00B84E77" w:rsidRPr="007E679C">
        <w:rPr>
          <w:rFonts w:ascii="Times New Roman" w:hAnsi="Times New Roman" w:cs="Times New Roman"/>
          <w:sz w:val="24"/>
          <w:szCs w:val="24"/>
        </w:rPr>
        <w:t xml:space="preserve">  Rural populations were more at risk of underweight at 9% compared to urban populations at 5%.</w:t>
      </w:r>
      <w:r w:rsidR="00B654AD" w:rsidRPr="007E679C">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"id" : "ITEM-1", "issued" : { "date-parts" : [ [ "2000" ] ] }, "publisher-place" : "Rome, Italy", "title" : "FAO - Nutrition Country Profiles: Brazil", "type" : "report" }, "uris" : [ "http://www.mendeley.com/documents/?uuid=2d681cd3-8702-464d-8001-33ad7afa6881" ] } ], "mendeley" : { "formattedCitation" : "&lt;sup&gt;10&lt;/sup&gt;", "plainTextFormattedCitation" : "10", "previouslyFormattedCitation" : "&lt;sup&gt;9&lt;/sup&gt;" }, "properties" : { "noteIndex" : 0 }, "schema" : "https://github.com/citation-style-language/schema/raw/master/csl-citation.json" }</w:instrText>
      </w:r>
      <w:r w:rsidR="00B654AD" w:rsidRPr="007E679C">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10</w:t>
      </w:r>
      <w:r w:rsidR="00B654AD" w:rsidRPr="007E679C">
        <w:rPr>
          <w:rFonts w:ascii="Times New Roman" w:hAnsi="Times New Roman" w:cs="Times New Roman"/>
          <w:sz w:val="24"/>
          <w:szCs w:val="24"/>
        </w:rPr>
        <w:fldChar w:fldCharType="end"/>
      </w:r>
      <w:r w:rsidR="00B84E77" w:rsidRPr="007E679C">
        <w:rPr>
          <w:rFonts w:ascii="Times New Roman" w:hAnsi="Times New Roman" w:cs="Times New Roman"/>
          <w:sz w:val="24"/>
          <w:szCs w:val="24"/>
        </w:rPr>
        <w:t xml:space="preserve"> </w:t>
      </w:r>
      <w:r w:rsidR="00387BA4">
        <w:rPr>
          <w:rFonts w:ascii="Times New Roman" w:hAnsi="Times New Roman" w:cs="Times New Roman"/>
          <w:sz w:val="24"/>
          <w:szCs w:val="24"/>
        </w:rPr>
        <w:t xml:space="preserve">In particular, </w:t>
      </w:r>
      <w:r w:rsidR="00B654AD">
        <w:rPr>
          <w:rFonts w:ascii="Times New Roman" w:hAnsi="Times New Roman" w:cs="Times New Roman"/>
          <w:sz w:val="24"/>
          <w:szCs w:val="24"/>
        </w:rPr>
        <w:t>the northeastern states</w:t>
      </w:r>
      <w:r w:rsidR="00B84E77" w:rsidRPr="007E679C">
        <w:rPr>
          <w:rFonts w:ascii="Times New Roman" w:hAnsi="Times New Roman" w:cs="Times New Roman"/>
          <w:sz w:val="24"/>
          <w:szCs w:val="24"/>
        </w:rPr>
        <w:t xml:space="preserve"> that have not shown as much rapid improvement in rates of underweight</w:t>
      </w:r>
      <w:r w:rsidR="00B654AD">
        <w:rPr>
          <w:rFonts w:ascii="Times New Roman" w:hAnsi="Times New Roman" w:cs="Times New Roman"/>
          <w:sz w:val="24"/>
          <w:szCs w:val="24"/>
        </w:rPr>
        <w:t xml:space="preserve"> with 8.3% of children under 5 experiencing underweight and 17.9% experiencing stunting in 1996.</w:t>
      </w:r>
      <w:r w:rsidR="00B654AD">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"id" : "ITEM-1", "issued" : { "date-parts" : [ [ "2000" ] ] }, "publisher-place" : "Rome, Italy", "title" : "FAO - Nutrition Country Profiles: Brazil", "type" : "report" }, "uris" : [ "http://www.mendeley.com/documents/?uuid=2d681cd3-8702-464d-8001-33ad7afa6881" ] } ], "mendeley" : { "formattedCitation" : "&lt;sup&gt;10&lt;/sup&gt;", "plainTextFormattedCitation" : "10", "previouslyFormattedCitation" : "&lt;sup&gt;9&lt;/sup&gt;" }, "properties" : { "noteIndex" : 0 }, "schema" : "https://github.com/citation-style-language/schema/raw/master/csl-citation.json" }</w:instrText>
      </w:r>
      <w:r w:rsidR="00B654AD">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10</w:t>
      </w:r>
      <w:r w:rsidR="00B654AD">
        <w:rPr>
          <w:rFonts w:ascii="Times New Roman" w:hAnsi="Times New Roman" w:cs="Times New Roman"/>
          <w:sz w:val="24"/>
          <w:szCs w:val="24"/>
        </w:rPr>
        <w:fldChar w:fldCharType="end"/>
      </w:r>
      <w:r w:rsidR="00B654AD">
        <w:rPr>
          <w:rFonts w:ascii="Times New Roman" w:hAnsi="Times New Roman" w:cs="Times New Roman"/>
          <w:sz w:val="24"/>
          <w:szCs w:val="24"/>
        </w:rPr>
        <w:t xml:space="preserve"> (See Table</w:t>
      </w:r>
      <w:r w:rsidR="000B09E5">
        <w:rPr>
          <w:rFonts w:ascii="Times New Roman" w:hAnsi="Times New Roman" w:cs="Times New Roman"/>
          <w:sz w:val="24"/>
          <w:szCs w:val="24"/>
        </w:rPr>
        <w:t xml:space="preserve"> 1.1)</w:t>
      </w:r>
    </w:p>
    <w:p w:rsidR="00387BA4" w:rsidRDefault="00B84E77" w:rsidP="00215E22">
      <w:pPr>
        <w:pStyle w:val="NoSpacing"/>
        <w:spacing w:line="360" w:lineRule="auto"/>
        <w:ind w:firstLine="720"/>
        <w:rPr>
          <w:rFonts w:ascii="Times New Roman" w:hAnsi="Times New Roman" w:cs="Times New Roman"/>
          <w:sz w:val="24"/>
          <w:szCs w:val="24"/>
        </w:rPr>
      </w:pPr>
      <w:r w:rsidRPr="007E679C">
        <w:rPr>
          <w:rFonts w:ascii="Times New Roman" w:hAnsi="Times New Roman" w:cs="Times New Roman"/>
          <w:sz w:val="24"/>
          <w:szCs w:val="24"/>
        </w:rPr>
        <w:t>As Brazil becomes more westernized there is also a concern that sub-groups of the population may be more susceptible to being underweight due to a different etiology - eating disorders. In particular women, ages 20-29, smokers</w:t>
      </w:r>
      <w:r w:rsidR="00387BA4">
        <w:rPr>
          <w:rFonts w:ascii="Times New Roman" w:hAnsi="Times New Roman" w:cs="Times New Roman"/>
          <w:sz w:val="24"/>
          <w:szCs w:val="24"/>
        </w:rPr>
        <w:t>, those with increase schooling</w:t>
      </w:r>
      <w:r w:rsidRPr="007E679C">
        <w:rPr>
          <w:rFonts w:ascii="Times New Roman" w:hAnsi="Times New Roman" w:cs="Times New Roman"/>
          <w:sz w:val="24"/>
          <w:szCs w:val="24"/>
        </w:rPr>
        <w:t xml:space="preserve"> and those without a part</w:t>
      </w:r>
      <w:r w:rsidR="00387BA4">
        <w:rPr>
          <w:rFonts w:ascii="Times New Roman" w:hAnsi="Times New Roman" w:cs="Times New Roman"/>
          <w:sz w:val="24"/>
          <w:szCs w:val="24"/>
        </w:rPr>
        <w:t>ner are more susceptible to eating disorders</w:t>
      </w:r>
      <w:r w:rsidRPr="007E679C">
        <w:rPr>
          <w:rFonts w:ascii="Times New Roman" w:hAnsi="Times New Roman" w:cs="Times New Roman"/>
          <w:sz w:val="24"/>
          <w:szCs w:val="24"/>
        </w:rPr>
        <w:t>.</w:t>
      </w:r>
      <w:r w:rsidRPr="007E679C">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"DOI" : "10.1038/sj.ejcn.1602204", "ISSN" : "0954-3007", "PMID" : "15970943", "abstract" : "OBJECTIVE: To study the prevalence and current predictors of low body mass index (BMI) in a population undergoing a rapid nutritional transition. DESIGN: Population-based cross-sectional study. SETTINGS: Individuals living in the urban area of Pelotas, a medium-sized southern Brazilian city, were interviewed at home. SUBJECTS: A multiple-stage sampling strategy was used. Out of 3372 eligible subjects, 3047 were interviewed. The study was restricted to adults (&gt; or = 20 y). MAIN OUTCOME MEASURE: Low BMI was defined as &lt;18.5 kg/m2. RESULTS: The prevalence of low BMI was 2.7% (95% confidence interval: 2.1; 3.3), higher in women than men (3.8 vs 1.3%; P &lt; 0.001). In the whole sample (men and women combined), living without a partner and current smoking were positively associated with low BMI. Among women, low BMI presented a U-shaped relationship with age and was positively associated with educational level. The prevalence of low BMI in young women was 6.3%, and in highly educated young women was 8.9%. CONCLUSIONS: Consistently with previous Brazilian studies, a decline in the overall prevalence of low BMI is clear. However, differently from these studies, the predictors of low BMI in women are similar to those observed within developed countries (including low age and high education), possibly indicating an increase in eating disorders.", "author" : [ { "dropping-particle" : "", "family" : "Hallal", "given" : "P C", "non-dropping-particle" : "", "parse-names" : false, "suffix" : "" }, { "dropping-particle" : "", "family" : "Wells", "given" : "J C K", "non-dropping-particle" : "", "parse-names" : false, "suffix" : "" }, { "dropping-particle" : "", "family" : "Bertoldi", "given" : "a D", "non-dropping-particle" : "", "parse-names" : false, "suffix" : "" }, { "dropping-particle" : "", "family" : "Gazalle", "given" : "F K", "non-dropping-particle" : "", "parse-names" : false, "suffix" : "" }, { "dropping-particle" : "", "family" : "Silva", "given" : "M C", "non-dropping-particle" : "", "parse-names" : false, "suffix" : "" }, { "dropping-particle" : "", "family" : "Domingues", "given" : "M R", "non-dropping-particle" : "", "parse-names" : false, "suffix" : "" }, { "dropping-particle" : "V", "family" : "Carret", "given" : "M L", "non-dropping-particle" : "", "parse-names" : false, "suffix" : "" }, { "dropping-particle" : "", "family" : "Ara\u00fajo", "given" : "C L P", "non-dropping-particle" : "", "parse-names" : false, "suffix" : "" }, { "dropping-particle" : "", "family" : "Gigante", "given" : "D P", "non-dropping-particle" : "", "parse-names" : false, "suffix" : "" } ], "container-title" : "European journal of clinical nutrition", "id" : "ITEM-1", "issue" : "9", "issued" : { "date-parts" : [ [ "2005" ] ] }, "page" : "1002-1006", "title" : "A shift in the epidemiology of low body mass index in Brazilian adults.", "type" : "article-journal", "volume" : "59" }, "uris" : [ "http://www.mendeley.com/documents/?uuid=8861e43d-49bc-4265-8646-d831787e70cb" ] } ], "mendeley" : { "formattedCitation" : "&lt;sup&gt;11&lt;/sup&gt;", "plainTextFormattedCitation" : "11", "previouslyFormattedCitation" : "&lt;sup&gt;10&lt;/sup&gt;" }, "properties" : { "noteIndex" : 0 }, "schema" : "https://github.com/citation-style-language/schema/raw/master/csl-citation.json" }</w:instrText>
      </w:r>
      <w:r w:rsidRPr="007E679C">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11</w:t>
      </w:r>
      <w:r w:rsidRPr="007E679C">
        <w:rPr>
          <w:rFonts w:ascii="Times New Roman" w:hAnsi="Times New Roman" w:cs="Times New Roman"/>
          <w:sz w:val="24"/>
          <w:szCs w:val="24"/>
        </w:rPr>
        <w:fldChar w:fldCharType="end"/>
      </w:r>
      <w:r w:rsidRPr="007E679C">
        <w:rPr>
          <w:rFonts w:ascii="Times New Roman" w:hAnsi="Times New Roman" w:cs="Times New Roman"/>
          <w:sz w:val="24"/>
          <w:szCs w:val="24"/>
        </w:rPr>
        <w:t xml:space="preserve"> </w:t>
      </w:r>
    </w:p>
    <w:p w:rsidR="00801BE7" w:rsidRPr="007E679C" w:rsidRDefault="007E4D8E" w:rsidP="00387BA4">
      <w:pPr>
        <w:pStyle w:val="NoSpacing"/>
        <w:spacing w:line="360" w:lineRule="auto"/>
        <w:ind w:firstLine="720"/>
        <w:rPr>
          <w:rFonts w:ascii="Times New Roman" w:hAnsi="Times New Roman" w:cs="Times New Roman"/>
          <w:sz w:val="24"/>
          <w:szCs w:val="24"/>
        </w:rPr>
      </w:pPr>
      <w:r w:rsidRPr="007E679C">
        <w:rPr>
          <w:rFonts w:ascii="Times New Roman" w:hAnsi="Times New Roman" w:cs="Times New Roman"/>
          <w:sz w:val="24"/>
          <w:szCs w:val="24"/>
        </w:rPr>
        <w:t>The major issue facing the country as under</w:t>
      </w:r>
      <w:r w:rsidR="00E904BB">
        <w:rPr>
          <w:rFonts w:ascii="Times New Roman" w:hAnsi="Times New Roman" w:cs="Times New Roman"/>
          <w:sz w:val="24"/>
          <w:szCs w:val="24"/>
        </w:rPr>
        <w:t>-</w:t>
      </w:r>
      <w:r w:rsidRPr="007E679C">
        <w:rPr>
          <w:rFonts w:ascii="Times New Roman" w:hAnsi="Times New Roman" w:cs="Times New Roman"/>
          <w:sz w:val="24"/>
          <w:szCs w:val="24"/>
        </w:rPr>
        <w:t>nutrition becomes less of a problem is obesity.</w:t>
      </w:r>
      <w:r w:rsidR="003E2918" w:rsidRPr="003E2918">
        <w:rPr>
          <w:rFonts w:ascii="Times New Roman" w:hAnsi="Times New Roman" w:cs="Times New Roman"/>
          <w:sz w:val="24"/>
          <w:szCs w:val="24"/>
          <w:vertAlign w:val="superscript"/>
        </w:rPr>
        <w:t>C,</w:t>
      </w:r>
      <w:r w:rsidRPr="007E679C">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"DOI" : "10.2105/AJPH.94.3.433", "ISBN" : "0090-0036 (Print)\\r0090-0036 (Linking)", "ISSN" : "00900036", "PMID" : "14998807", "abstract" : "On the basis of 3 comparable population-based surveys conducted in Brazil, we identified clear changes in the relative magnitude of women's undernutrition and overnutrition. In 1975, there were almost 2 cases of underweight to 1 case of obesity, whereas in 1997, there were more than 2 cases of obesity to 1 case of underweight. In 1997, Brazilian low-income women were significantly more susceptible than high-income women to both underweight and obesity.", "author" : [ { "dropping-particle" : "", "family" : "Monteiro", "given" : "Carlos A.", "non-dropping-particle" : "", "parse-names" : false, "suffix" : "" }, { "dropping-particle" : "", "family" : "Conde", "given" : "Wolney L.", "non-dropping-particle" : "", "parse-names" : false, "suffix" : "" }, { "dropping-particle" : "", "family" : "Popkin", "given" : "Barry M.", "non-dropping-particle" : "", "parse-names" : false, "suffix" : "" } ], "container-title" : "American Journal of Public Health", "id" : "ITEM-1", "issue" : "3", "issued" : { "date-parts" : [ [ "2004" ] ] }, "page" : "433-434", "title" : "The Burden of Disease from Undernutrition and Overnutrition in Countries Undergoing Rapid Nutrition Transition: A View from Brazil", "type" : "article-journal", "volume" : "94" }, "uris" : [ "http://www.mendeley.com/documents/?uuid=bdfe9f74-a8ce-45af-b28e-9fd6f8c6a585" ] } ], "mendeley" : { "formattedCitation" : "&lt;sup&gt;9&lt;/sup&gt;", "plainTextFormattedCitation" : "9", "previouslyFormattedCitation" : "&lt;sup&gt;8&lt;/sup&gt;" }, "properties" : { "noteIndex" : 0 }, "schema" : "https://github.com/citation-style-language/schema/raw/master/csl-citation.json" }</w:instrText>
      </w:r>
      <w:r w:rsidRPr="007E679C">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9</w:t>
      </w:r>
      <w:r w:rsidRPr="007E679C">
        <w:rPr>
          <w:rFonts w:ascii="Times New Roman" w:hAnsi="Times New Roman" w:cs="Times New Roman"/>
          <w:sz w:val="24"/>
          <w:szCs w:val="24"/>
        </w:rPr>
        <w:fldChar w:fldCharType="end"/>
      </w:r>
      <w:r w:rsidRPr="007E679C">
        <w:rPr>
          <w:rFonts w:ascii="Times New Roman" w:hAnsi="Times New Roman" w:cs="Times New Roman"/>
          <w:sz w:val="24"/>
          <w:szCs w:val="24"/>
        </w:rPr>
        <w:t xml:space="preserve"> As econo</w:t>
      </w:r>
      <w:bookmarkStart w:id="0" w:name="_GoBack"/>
      <w:bookmarkEnd w:id="0"/>
      <w:r w:rsidRPr="007E679C">
        <w:rPr>
          <w:rFonts w:ascii="Times New Roman" w:hAnsi="Times New Roman" w:cs="Times New Roman"/>
          <w:sz w:val="24"/>
          <w:szCs w:val="24"/>
        </w:rPr>
        <w:t xml:space="preserve">mic development has improved and more people move to urban areas, there is increasing access </w:t>
      </w:r>
      <w:r w:rsidR="00387BA4">
        <w:rPr>
          <w:rFonts w:ascii="Times New Roman" w:hAnsi="Times New Roman" w:cs="Times New Roman"/>
          <w:sz w:val="24"/>
          <w:szCs w:val="24"/>
        </w:rPr>
        <w:t>to</w:t>
      </w:r>
      <w:r w:rsidRPr="007E679C">
        <w:rPr>
          <w:rFonts w:ascii="Times New Roman" w:hAnsi="Times New Roman" w:cs="Times New Roman"/>
          <w:sz w:val="24"/>
          <w:szCs w:val="24"/>
        </w:rPr>
        <w:t xml:space="preserve"> junk food and fast food and </w:t>
      </w:r>
      <w:r w:rsidR="00387BA4">
        <w:rPr>
          <w:rFonts w:ascii="Times New Roman" w:hAnsi="Times New Roman" w:cs="Times New Roman"/>
          <w:sz w:val="24"/>
          <w:szCs w:val="24"/>
        </w:rPr>
        <w:t>decreased access to fresh fruits and vegetables</w:t>
      </w:r>
      <w:r w:rsidRPr="007E679C">
        <w:rPr>
          <w:rFonts w:ascii="Times New Roman" w:hAnsi="Times New Roman" w:cs="Times New Roman"/>
          <w:sz w:val="24"/>
          <w:szCs w:val="24"/>
        </w:rPr>
        <w:t>.</w:t>
      </w:r>
      <w:r w:rsidRPr="007E679C">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"DOI" : "10.1046/j.1467-789x.2001.00029.x", "ISBN" : "1467-7881 (Print)\\n1467-7881 (Linking)", "ISSN" : "1467-7881", "PMID" : "12119667", "abstract" : "The prevalence of obesity in some lower-income and transitional countries is as high as, or even higher than, the prevalence reported in developed nations, and it seems to be increasing rapidly. In most countries, the prevalence of obesity is higher in women than in men, and higher in urban than in rural areas. Preobesity prevalence is very high in most Latin-American countries. Sixty per cent of the population in Venado Tuerto (Argentina) has a body mass index (BMI) of &gt; or = 25 kg m-2, as do 35% of the population in Brazil, 60% in Mexico, 68% in Paraguay and 53% in Peru. Trends are available from Brazil, where marked increases in the prevalence of obesity have occurred, except in women from higher-income groups. Women from the higher-income quartiles in urban regions experienced a marked reduction in obesity prevalence from 1989 to 1997 (12.8 to 9.2%). Although data in children is scant, the prevalence of undernutrition is decreasing and the prevalence of obesity is high also in Latin-American children. The prevalence of obesity is high even in minority Indian groups. Rapid changes in dietary structure (in particular associated with urbanization) and major changes in the levels of physical activity, both occupationally and during leisure time, may explain these changes.", "author" : [ { "dropping-particle" : "", "family" : "Filozof", "given" : "C", "non-dropping-particle" : "", "parse-names" : false, "suffix" : "" }, { "dropping-particle" : "", "family" : "Gonzalez", "given" : "C", "non-dropping-particle" : "", "parse-names" : false, "suffix" : "" }, { "dropping-particle" : "", "family" : "Sereday", "given" : "M", "non-dropping-particle" : "", "parse-names" : false, "suffix" : "" }, { "dropping-particle" : "", "family" : "Mazza", "given" : "C", "non-dropping-particle" : "", "parse-names" : false, "suffix" : "" }, { "dropping-particle" : "", "family" : "Braguinsky", "given" : "J", "non-dropping-particle" : "", "parse-names" : false, "suffix" : "" } ], "container-title" : "Obesity reviews : an official journal of the International Association for the Study of Obesity", "id" : "ITEM-1", "issue" : "2", "issued" : { "date-parts" : [ [ "2001" ] ] }, "page" : "99-106", "title" : "Obesity prevalence and trends in Latin-American countries.", "type" : "article-journal", "volume" : "2" }, "uris" : [ "http://www.mendeley.com/documents/?uuid=c4051b51-61c9-4d92-a8a8-2174df37c6df" ] } ], "mendeley" : { "formattedCitation" : "&lt;sup&gt;12&lt;/sup&gt;", "plainTextFormattedCitation" : "12", "previouslyFormattedCitation" : "&lt;sup&gt;11&lt;/sup&gt;" }, "properties" : { "noteIndex" : 0 }, "schema" : "https://github.com/citation-style-language/schema/raw/master/csl-citation.json" }</w:instrText>
      </w:r>
      <w:r w:rsidRPr="007E679C">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12</w:t>
      </w:r>
      <w:r w:rsidRPr="007E679C">
        <w:rPr>
          <w:rFonts w:ascii="Times New Roman" w:hAnsi="Times New Roman" w:cs="Times New Roman"/>
          <w:sz w:val="24"/>
          <w:szCs w:val="24"/>
        </w:rPr>
        <w:fldChar w:fldCharType="end"/>
      </w:r>
      <w:r w:rsidR="00387BA4">
        <w:rPr>
          <w:rFonts w:ascii="Times New Roman" w:hAnsi="Times New Roman" w:cs="Times New Roman"/>
          <w:sz w:val="24"/>
          <w:szCs w:val="24"/>
        </w:rPr>
        <w:t xml:space="preserve"> The </w:t>
      </w:r>
      <w:r w:rsidR="00E904BB">
        <w:rPr>
          <w:rFonts w:ascii="Times New Roman" w:hAnsi="Times New Roman" w:cs="Times New Roman"/>
          <w:sz w:val="24"/>
          <w:szCs w:val="24"/>
        </w:rPr>
        <w:t>high-fat, high suga</w:t>
      </w:r>
      <w:r w:rsidR="00387BA4">
        <w:rPr>
          <w:rFonts w:ascii="Times New Roman" w:hAnsi="Times New Roman" w:cs="Times New Roman"/>
          <w:sz w:val="24"/>
          <w:szCs w:val="24"/>
        </w:rPr>
        <w:t>r</w:t>
      </w:r>
      <w:r w:rsidR="00E904BB">
        <w:rPr>
          <w:rFonts w:ascii="Times New Roman" w:hAnsi="Times New Roman" w:cs="Times New Roman"/>
          <w:sz w:val="24"/>
          <w:szCs w:val="24"/>
        </w:rPr>
        <w:t>, processed</w:t>
      </w:r>
      <w:r w:rsidR="00387BA4">
        <w:rPr>
          <w:rFonts w:ascii="Times New Roman" w:hAnsi="Times New Roman" w:cs="Times New Roman"/>
          <w:sz w:val="24"/>
          <w:szCs w:val="24"/>
        </w:rPr>
        <w:t xml:space="preserve"> foods available in urban areas may be responsible for increase</w:t>
      </w:r>
      <w:r w:rsidR="00E904BB">
        <w:rPr>
          <w:rFonts w:ascii="Times New Roman" w:hAnsi="Times New Roman" w:cs="Times New Roman"/>
          <w:sz w:val="24"/>
          <w:szCs w:val="24"/>
        </w:rPr>
        <w:t>d rates of overweight, obesity and chronic disease.</w:t>
      </w:r>
      <w:r w:rsidR="00E904BB">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"DOI" : "10.1079/PHN19980004", "ISBN" : "1368-9800 (Print)", "ISSN" : "1368-9800", "PMID" : "10555527", "abstract" : "OBJECTIVE: This article reviews information on the rapid changes in diet, activity and body composition that lower- and middle-income countries are undergoing and then examines some of the potential health implications of this transition. DESIGN AND SETTING: Data came from numerous countries and also from national food balance (FAOSTAT) and World Bank sources. Nationally representative and nationwide surveys are used. The nationally representative Russian Longitudinal Monitoring Surveys from 1992-96 and the nationwide China Health and Nutrition Survey from 1989-93 are examined in detail. RESULTS: Rapid changes in the structure of diet, in particular associated with urbanization, are documented. In addition, large changes in occupation types are documented. These are linked with rapid increases in adult obesity in Latin America and Asia. Some of the potential implications for adult health are noted. CONCLUSIONS: The rapid changes in diet, activity and obesity that are facing billions of residents of lower- and middle-income countries are cause for great concern. Linked with these changes will be a rapid increase in chronic diseases. Little to date has been done at the national level to address these problems.", "author" : [ { "dropping-particle" : "", "family" : "Popkin", "given" : "B M", "non-dropping-particle" : "", "parse-names" : false, "suffix" : "" } ], "container-title" : "Public health nutrition", "id" : "ITEM-1", "issue" : "1", "issued" : { "date-parts" : [ [ "1998" ] ] }, "page" : "5-21", "title" : "The nutrition transition and its health implications in lower-income countries.", "type" : "article-journal", "volume" : "1" }, "uris" : [ "http://www.mendeley.com/documents/?uuid=eb729004-2f58-4c64-867a-918d8ecd49e7" ] } ], "mendeley" : { "formattedCitation" : "&lt;sup&gt;13&lt;/sup&gt;", "plainTextFormattedCitation" : "13", "previouslyFormattedCitation" : "&lt;sup&gt;12&lt;/sup&gt;" }, "properties" : { "noteIndex" : 0 }, "schema" : "https://github.com/citation-style-language/schema/raw/master/csl-citation.json" }</w:instrText>
      </w:r>
      <w:r w:rsidR="00E904BB">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13</w:t>
      </w:r>
      <w:r w:rsidR="00E904BB">
        <w:rPr>
          <w:rFonts w:ascii="Times New Roman" w:hAnsi="Times New Roman" w:cs="Times New Roman"/>
          <w:sz w:val="24"/>
          <w:szCs w:val="24"/>
        </w:rPr>
        <w:fldChar w:fldCharType="end"/>
      </w:r>
      <w:r w:rsidR="00387BA4">
        <w:rPr>
          <w:rFonts w:ascii="Times New Roman" w:hAnsi="Times New Roman" w:cs="Times New Roman"/>
          <w:sz w:val="24"/>
          <w:szCs w:val="24"/>
        </w:rPr>
        <w:t xml:space="preserve"> Ce</w:t>
      </w:r>
      <w:r w:rsidRPr="007E679C">
        <w:rPr>
          <w:rFonts w:ascii="Times New Roman" w:hAnsi="Times New Roman" w:cs="Times New Roman"/>
          <w:sz w:val="24"/>
          <w:szCs w:val="24"/>
        </w:rPr>
        <w:t>rtain sub-groups of the population are particularly vulnera</w:t>
      </w:r>
      <w:r w:rsidR="00387BA4">
        <w:rPr>
          <w:rFonts w:ascii="Times New Roman" w:hAnsi="Times New Roman" w:cs="Times New Roman"/>
          <w:sz w:val="24"/>
          <w:szCs w:val="24"/>
        </w:rPr>
        <w:t>ble to becoming obese. In 2009</w:t>
      </w:r>
      <w:r w:rsidRPr="007E679C">
        <w:rPr>
          <w:rFonts w:ascii="Times New Roman" w:hAnsi="Times New Roman" w:cs="Times New Roman"/>
          <w:sz w:val="24"/>
          <w:szCs w:val="24"/>
        </w:rPr>
        <w:t>, 1 in 6 men were obese and 1 in 8 women were obese.</w:t>
      </w:r>
      <w:r w:rsidRPr="007E679C">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"DOI" : "10.3945/ajcn.114.084764.Nutrition", "author" : [ { "dropping-particle" : "", "family" : "Conde", "given" : "Wolney Lisboa", "non-dropping-particle" : "", "parse-names" : false, "suffix" : "" }, { "dropping-particle" : "", "family" : "Monteiro", "given" : "Carlos Augusto", "non-dropping-particle" : "", "parse-names" : false, "suffix" : "" } ], "id" : "ITEM-1", "issue" : "1", "issued" : { "date-parts" : [ [ "2014" ] ] }, "page" : "1617-1622", "title" : "Nutrition transition and double burden of undernutrition and excess of weight in Brazil 1 \u2013 4", "type" : "article-journal", "volume" : "100" }, "uris" : [ "http://www.mendeley.com/documents/?uuid=592b9f50-d78e-48be-a2ee-7894b886f59e" ] } ], "mendeley" : { "formattedCitation" : "&lt;sup&gt;14&lt;/sup&gt;", "plainTextFormattedCitation" : "14", "previouslyFormattedCitation" : "&lt;sup&gt;13&lt;/sup&gt;" }, "properties" : { "noteIndex" : 0 }, "schema" : "https://github.com/citation-style-language/schema/raw/master/csl-citation.json" }</w:instrText>
      </w:r>
      <w:r w:rsidRPr="007E679C">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14</w:t>
      </w:r>
      <w:r w:rsidRPr="007E679C">
        <w:rPr>
          <w:rFonts w:ascii="Times New Roman" w:hAnsi="Times New Roman" w:cs="Times New Roman"/>
          <w:sz w:val="24"/>
          <w:szCs w:val="24"/>
        </w:rPr>
        <w:fldChar w:fldCharType="end"/>
      </w:r>
      <w:r w:rsidRPr="007E679C">
        <w:rPr>
          <w:rFonts w:ascii="Times New Roman" w:hAnsi="Times New Roman" w:cs="Times New Roman"/>
          <w:sz w:val="24"/>
          <w:szCs w:val="24"/>
        </w:rPr>
        <w:t xml:space="preserve"> </w:t>
      </w:r>
      <w:r w:rsidR="00387BA4">
        <w:rPr>
          <w:rFonts w:ascii="Times New Roman" w:hAnsi="Times New Roman" w:cs="Times New Roman"/>
          <w:sz w:val="24"/>
          <w:szCs w:val="24"/>
        </w:rPr>
        <w:t>Although o</w:t>
      </w:r>
      <w:r w:rsidRPr="007E679C">
        <w:rPr>
          <w:rFonts w:ascii="Times New Roman" w:hAnsi="Times New Roman" w:cs="Times New Roman"/>
          <w:sz w:val="24"/>
          <w:szCs w:val="24"/>
        </w:rPr>
        <w:t>besity d</w:t>
      </w:r>
      <w:r w:rsidR="00387BA4">
        <w:rPr>
          <w:rFonts w:ascii="Times New Roman" w:hAnsi="Times New Roman" w:cs="Times New Roman"/>
          <w:sz w:val="24"/>
          <w:szCs w:val="24"/>
        </w:rPr>
        <w:t>isproportionately impacts women, obesity rates decreased</w:t>
      </w:r>
      <w:r w:rsidRPr="007E679C">
        <w:rPr>
          <w:rFonts w:ascii="Times New Roman" w:hAnsi="Times New Roman" w:cs="Times New Roman"/>
          <w:sz w:val="24"/>
          <w:szCs w:val="24"/>
        </w:rPr>
        <w:t xml:space="preserve"> as income and educational attainment improved for women.</w:t>
      </w:r>
      <w:r w:rsidR="00387BA4" w:rsidRPr="00387BA4">
        <w:rPr>
          <w:rFonts w:ascii="Times New Roman" w:hAnsi="Times New Roman" w:cs="Times New Roman"/>
          <w:sz w:val="24"/>
          <w:szCs w:val="24"/>
        </w:rPr>
        <w:t xml:space="preserve"> </w:t>
      </w:r>
      <w:r w:rsidR="00387BA4" w:rsidRPr="007E679C">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"DOI" : "10.1046/j.1467-789x.2001.00029.x", "ISBN" : "1467-7881 (Print)\\n1467-7881 (Linking)", "ISSN" : "1467-7881", "PMID" : "12119667", "abstract" : "The prevalence of obesity in some lower-income and transitional countries is as high as, or even higher than, the prevalence reported in developed nations, and it seems to be increasing rapidly. In most countries, the prevalence of obesity is higher in women than in men, and higher in urban than in rural areas. Preobesity prevalence is very high in most Latin-American countries. Sixty per cent of the population in Venado Tuerto (Argentina) has a body mass index (BMI) of &gt; or = 25 kg m-2, as do 35% of the population in Brazil, 60% in Mexico, 68% in Paraguay and 53% in Peru. Trends are available from Brazil, where marked increases in the prevalence of obesity have occurred, except in women from higher-income groups. Women from the higher-income quartiles in urban regions experienced a marked reduction in obesity prevalence from 1989 to 1997 (12.8 to 9.2%). Although data in children is scant, the prevalence of undernutrition is decreasing and the prevalence of obesity is high also in Latin-American children. The prevalence of obesity is high even in minority Indian groups. Rapid changes in dietary structure (in particular associated with urbanization) and major changes in the levels of physical activity, both occupationally and during leisure time, may explain these changes.", "author" : [ { "dropping-particle" : "", "family" : "Filozof", "given" : "C", "non-dropping-particle" : "", "parse-names" : false, "suffix" : "" }, { "dropping-particle" : "", "family" : "Gonzalez", "given" : "C", "non-dropping-particle" : "", "parse-names" : false, "suffix" : "" }, { "dropping-particle" : "", "family" : "Sereday", "given" : "M", "non-dropping-particle" : "", "parse-names" : false, "suffix" : "" }, { "dropping-particle" : "", "family" : "Mazza", "given" : "C", "non-dropping-particle" : "", "parse-names" : false, "suffix" : "" }, { "dropping-particle" : "", "family" : "Braguinsky", "given" : "J", "non-dropping-particle" : "", "parse-names" : false, "suffix" : "" } ], "container-title" : "Obesity reviews : an official journal of the International Association for the Study of Obesity", "id" : "ITEM-1", "issue" : "2", "issued" : { "date-parts" : [ [ "2001" ] ] }, "page" : "99-106", "title" : "Obesity prevalence and trends in Latin-American countries.", "type" : "article-journal", "volume" : "2" }, "uris" : [ "http://www.mendeley.com/documents/?uuid=c4051b51-61c9-4d92-a8a8-2174df37c6df" ] } ], "mendeley" : { "formattedCitation" : "&lt;sup&gt;12&lt;/sup&gt;", "plainTextFormattedCitation" : "12", "previouslyFormattedCitation" : "&lt;sup&gt;11&lt;/sup&gt;" }, "properties" : { "noteIndex" : 0 }, "schema" : "https://github.com/citation-style-language/schema/raw/master/csl-citation.json" }</w:instrText>
      </w:r>
      <w:r w:rsidR="00387BA4" w:rsidRPr="007E679C">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12</w:t>
      </w:r>
      <w:r w:rsidR="00387BA4" w:rsidRPr="007E679C">
        <w:rPr>
          <w:rFonts w:ascii="Times New Roman" w:hAnsi="Times New Roman" w:cs="Times New Roman"/>
          <w:sz w:val="24"/>
          <w:szCs w:val="24"/>
        </w:rPr>
        <w:fldChar w:fldCharType="end"/>
      </w:r>
      <w:r w:rsidR="00387BA4" w:rsidRPr="00387BA4">
        <w:rPr>
          <w:rFonts w:ascii="Times New Roman" w:hAnsi="Times New Roman" w:cs="Times New Roman"/>
          <w:sz w:val="24"/>
          <w:szCs w:val="24"/>
          <w:vertAlign w:val="superscript"/>
        </w:rPr>
        <w:t>,</w:t>
      </w:r>
      <w:r w:rsidRPr="007E679C">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"DOI" : "10.3945/ajcn.114.084764.Nutrition", "author" : [ { "dropping-particle" : "", "family" : "Conde", "given" : "Wolney Lisboa", "non-dropping-particle" : "", "parse-names" : false, "suffix" : "" }, { "dropping-particle" : "", "family" : "Monteiro", "given" : "Carlos Augusto", "non-dropping-particle" : "", "parse-names" : false, "suffix" : "" } ], "id" : "ITEM-1", "issue" : "1", "issued" : { "date-parts" : [ [ "2014" ] ] }, "page" : "1617-1622", "title" : "Nutrition transition and double burden of undernutrition and excess of weight in Brazil 1 \u2013 4", "type" : "article-journal", "volume" : "100" }, "uris" : [ "http://www.mendeley.com/documents/?uuid=592b9f50-d78e-48be-a2ee-7894b886f59e" ] } ], "mendeley" : { "formattedCitation" : "&lt;sup&gt;14&lt;/sup&gt;", "plainTextFormattedCitation" : "14", "previouslyFormattedCitation" : "&lt;sup&gt;13&lt;/sup&gt;" }, "properties" : { "noteIndex" : 0 }, "schema" : "https://github.com/citation-style-language/schema/raw/master/csl-citation.json" }</w:instrText>
      </w:r>
      <w:r w:rsidRPr="007E679C">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14</w:t>
      </w:r>
      <w:r w:rsidRPr="007E679C">
        <w:rPr>
          <w:rFonts w:ascii="Times New Roman" w:hAnsi="Times New Roman" w:cs="Times New Roman"/>
          <w:sz w:val="24"/>
          <w:szCs w:val="24"/>
        </w:rPr>
        <w:fldChar w:fldCharType="end"/>
      </w:r>
      <w:r w:rsidRPr="007E679C">
        <w:rPr>
          <w:rFonts w:ascii="Times New Roman" w:hAnsi="Times New Roman" w:cs="Times New Roman"/>
          <w:sz w:val="24"/>
          <w:szCs w:val="24"/>
        </w:rPr>
        <w:t xml:space="preserve"> </w:t>
      </w:r>
      <w:r w:rsidR="000B09E5">
        <w:rPr>
          <w:rFonts w:ascii="Times New Roman" w:hAnsi="Times New Roman" w:cs="Times New Roman"/>
          <w:sz w:val="24"/>
          <w:szCs w:val="24"/>
        </w:rPr>
        <w:t xml:space="preserve"> (See Table 1.0 &amp; 1.3)</w:t>
      </w:r>
    </w:p>
    <w:p w:rsidR="00A625A2" w:rsidRDefault="007E4D8E" w:rsidP="00215E22">
      <w:pPr>
        <w:pStyle w:val="NoSpacing"/>
        <w:spacing w:line="360" w:lineRule="auto"/>
        <w:rPr>
          <w:rFonts w:ascii="Times New Roman" w:hAnsi="Times New Roman" w:cs="Times New Roman"/>
          <w:sz w:val="24"/>
          <w:szCs w:val="24"/>
        </w:rPr>
      </w:pPr>
      <w:r w:rsidRPr="007E679C">
        <w:rPr>
          <w:rFonts w:ascii="Times New Roman" w:hAnsi="Times New Roman" w:cs="Times New Roman"/>
          <w:sz w:val="24"/>
          <w:szCs w:val="24"/>
        </w:rPr>
        <w:tab/>
        <w:t>In countries undergoing the nutrition transition, it is common for the adults to be the first</w:t>
      </w:r>
      <w:r w:rsidR="0028177B">
        <w:rPr>
          <w:rFonts w:ascii="Times New Roman" w:hAnsi="Times New Roman" w:cs="Times New Roman"/>
          <w:sz w:val="24"/>
          <w:szCs w:val="24"/>
        </w:rPr>
        <w:t xml:space="preserve"> age group</w:t>
      </w:r>
      <w:r w:rsidRPr="007E679C">
        <w:rPr>
          <w:rFonts w:ascii="Times New Roman" w:hAnsi="Times New Roman" w:cs="Times New Roman"/>
          <w:sz w:val="24"/>
          <w:szCs w:val="24"/>
        </w:rPr>
        <w:t xml:space="preserve"> to become obese followed by the </w:t>
      </w:r>
      <w:r w:rsidR="00D46174">
        <w:rPr>
          <w:rFonts w:ascii="Times New Roman" w:hAnsi="Times New Roman" w:cs="Times New Roman"/>
          <w:sz w:val="24"/>
          <w:szCs w:val="24"/>
        </w:rPr>
        <w:t xml:space="preserve">oldest </w:t>
      </w:r>
      <w:r w:rsidRPr="007E679C">
        <w:rPr>
          <w:rFonts w:ascii="Times New Roman" w:hAnsi="Times New Roman" w:cs="Times New Roman"/>
          <w:sz w:val="24"/>
          <w:szCs w:val="24"/>
        </w:rPr>
        <w:t>children</w:t>
      </w:r>
      <w:r w:rsidR="00D46174">
        <w:rPr>
          <w:rFonts w:ascii="Times New Roman" w:hAnsi="Times New Roman" w:cs="Times New Roman"/>
          <w:sz w:val="24"/>
          <w:szCs w:val="24"/>
        </w:rPr>
        <w:t>, and then the youngest children</w:t>
      </w:r>
      <w:r w:rsidRPr="007E679C">
        <w:rPr>
          <w:rFonts w:ascii="Times New Roman" w:hAnsi="Times New Roman" w:cs="Times New Roman"/>
          <w:sz w:val="24"/>
          <w:szCs w:val="24"/>
        </w:rPr>
        <w:t>. One study showed that between 1996 and 2006, there was an increase in obesity among children ages 6 to 11, but not in the children younger than 5.</w:t>
      </w:r>
      <w:r w:rsidRPr="007E679C">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"DOI" : "10.3945/ajcn.114.084764.Nutrition", "author" : [ { "dropping-particle" : "", "family" : "Conde", "given" : "Wolney Lisboa", "non-dropping-particle" : "", "parse-names" : false, "suffix" : "" }, { "dropping-particle" : "", "family" : "Monteiro", "given" : "Carlos Augusto", "non-dropping-particle" : "", "parse-names" : false, "suffix" : "" } ], "id" : "ITEM-1", "issue" : "1", "issued" : { "date-parts" : [ [ "2014" ] ] }, "page" : "1617-1622", "title" : "Nutrition transition and double burden of undernutrition and excess of weight in Brazil 1 \u2013 4", "type" : "article-journal", "volume" : "100" }, "uris" : [ "http://www.mendeley.com/documents/?uuid=592b9f50-d78e-48be-a2ee-7894b886f59e" ] } ], "mendeley" : { "formattedCitation" : "&lt;sup&gt;14&lt;/sup&gt;", "plainTextFormattedCitation" : "14", "previouslyFormattedCitation" : "&lt;sup&gt;13&lt;/sup&gt;" }, "properties" : { "noteIndex" : 0 }, "schema" : "https://github.com/citation-style-language/schema/raw/master/csl-citation.json" }</w:instrText>
      </w:r>
      <w:r w:rsidRPr="007E679C">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14</w:t>
      </w:r>
      <w:r w:rsidRPr="007E679C">
        <w:rPr>
          <w:rFonts w:ascii="Times New Roman" w:hAnsi="Times New Roman" w:cs="Times New Roman"/>
          <w:sz w:val="24"/>
          <w:szCs w:val="24"/>
        </w:rPr>
        <w:fldChar w:fldCharType="end"/>
      </w:r>
      <w:r w:rsidR="00D72058" w:rsidRPr="007E679C">
        <w:rPr>
          <w:rFonts w:ascii="Times New Roman" w:hAnsi="Times New Roman" w:cs="Times New Roman"/>
          <w:sz w:val="24"/>
          <w:szCs w:val="24"/>
        </w:rPr>
        <w:t xml:space="preserve"> If Brazil follows the trends of other countries undergoing this transition</w:t>
      </w:r>
      <w:r w:rsidR="00D46174">
        <w:rPr>
          <w:rFonts w:ascii="Times New Roman" w:hAnsi="Times New Roman" w:cs="Times New Roman"/>
          <w:sz w:val="24"/>
          <w:szCs w:val="24"/>
        </w:rPr>
        <w:t xml:space="preserve"> and does not intervene</w:t>
      </w:r>
      <w:r w:rsidR="00D72058" w:rsidRPr="007E679C">
        <w:rPr>
          <w:rFonts w:ascii="Times New Roman" w:hAnsi="Times New Roman" w:cs="Times New Roman"/>
          <w:sz w:val="24"/>
          <w:szCs w:val="24"/>
        </w:rPr>
        <w:t>, it is only a matter of time before the youngest children are also affected by higher rates of obesity.</w:t>
      </w:r>
      <w:r w:rsidR="00E904BB" w:rsidRPr="007E679C">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"DOI" : "10.3945/ajcn.114.084764.Nutrition", "author" : [ { "dropping-particle" : "", "family" : "Conde", "given" : "Wolney Lisboa", "non-dropping-particle" : "", "parse-names" : false, "suffix" : "" }, { "dropping-particle" : "", "family" : "Monteiro", "given" : "Carlos Augusto", "non-dropping-particle" : "", "parse-names" : false, "suffix" : "" } ], "id" : "ITEM-1", "issue" : "1", "issued" : { "date-parts" : [ [ "2014" ] ] }, "page" : "1617-1622", "title" : "Nutrition transition and double burden of undernutrition and excess of weight in Brazil 1 \u2013 4", "type" : "article-journal", "volume" : "100" }, "uris" : [ "http://www.mendeley.com/documents/?uuid=592b9f50-d78e-48be-a2ee-7894b886f59e" ] } ], "mendeley" : { "formattedCitation" : "&lt;sup&gt;14&lt;/sup&gt;", "plainTextFormattedCitation" : "14", "previouslyFormattedCitation" : "&lt;sup&gt;13&lt;/sup&gt;" }, "properties" : { "noteIndex" : 0 }, "schema" : "https://github.com/citation-style-language/schema/raw/master/csl-citation.json" }</w:instrText>
      </w:r>
      <w:r w:rsidR="00E904BB" w:rsidRPr="007E679C">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14</w:t>
      </w:r>
      <w:r w:rsidR="00E904BB" w:rsidRPr="007E679C">
        <w:rPr>
          <w:rFonts w:ascii="Times New Roman" w:hAnsi="Times New Roman" w:cs="Times New Roman"/>
          <w:sz w:val="24"/>
          <w:szCs w:val="24"/>
        </w:rPr>
        <w:fldChar w:fldCharType="end"/>
      </w:r>
      <w:r w:rsidR="000B09E5">
        <w:rPr>
          <w:rFonts w:ascii="Times New Roman" w:hAnsi="Times New Roman" w:cs="Times New Roman"/>
          <w:sz w:val="24"/>
          <w:szCs w:val="24"/>
        </w:rPr>
        <w:t xml:space="preserve"> (See Table 1.1)</w:t>
      </w:r>
    </w:p>
    <w:p w:rsidR="00AF0276" w:rsidRDefault="00D46174" w:rsidP="00AF0276">
      <w:pPr>
        <w:spacing w:line="360" w:lineRule="auto"/>
        <w:ind w:firstLine="720"/>
        <w:rPr>
          <w:rFonts w:ascii="Times New Roman" w:hAnsi="Times New Roman" w:cs="Times New Roman"/>
          <w:sz w:val="24"/>
          <w:szCs w:val="24"/>
        </w:rPr>
      </w:pPr>
      <w:r w:rsidRPr="00D46174">
        <w:rPr>
          <w:rFonts w:ascii="Times New Roman" w:hAnsi="Times New Roman" w:cs="Times New Roman"/>
          <w:sz w:val="24"/>
          <w:szCs w:val="24"/>
        </w:rPr>
        <w:t>Currently, Brazil does not have any</w:t>
      </w:r>
      <w:r w:rsidR="00AF0276">
        <w:rPr>
          <w:rFonts w:ascii="Times New Roman" w:hAnsi="Times New Roman" w:cs="Times New Roman"/>
          <w:sz w:val="24"/>
          <w:szCs w:val="24"/>
        </w:rPr>
        <w:t xml:space="preserve"> national</w:t>
      </w:r>
      <w:r w:rsidRPr="00D46174">
        <w:rPr>
          <w:rFonts w:ascii="Times New Roman" w:hAnsi="Times New Roman" w:cs="Times New Roman"/>
          <w:sz w:val="24"/>
          <w:szCs w:val="24"/>
        </w:rPr>
        <w:t xml:space="preserve"> programs to provide vitamin A to children under 5, post-partum mothers or through fortified foods, however, subnational programs have been ongoing in the northeast region.</w:t>
      </w:r>
      <w:r w:rsidRPr="00D46174">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"URL" : "https://www.unicef.at/fileadmin/media/Infos_und_Medien/Info-Material/Ernaehrung_und_Gesundheit/Vitamin_A_Supplementation.pdf", "accessed" : { "date-parts" : [ [ "2015", "4", "13" ] ] }, "author" : [ { "dropping-particle" : "", "family" : "UNICEF", "given" : "", "non-dropping-particle" : "", "parse-names" : false, "suffix" : "" } ], "id" : "ITEM-1", "issued" : { "date-parts" : [ [ "2007" ] ] }, "title" : "Vitamin A Supplementation: A Decade of Progress", "type" : "webpage" }, "uris" : [ "http://www.mendeley.com/documents/?uuid=23e5eb62-8ef5-4d16-972b-77eae312cb74" ] } ], "mendeley" : { "formattedCitation" : "&lt;sup&gt;15&lt;/sup&gt;", "plainTextFormattedCitation" : "15", "previouslyFormattedCitation" : "&lt;sup&gt;14&lt;/sup&gt;" }, "properties" : { "noteIndex" : 0 }, "schema" : "https://github.com/citation-style-language/schema/raw/master/csl-citation.json" }</w:instrText>
      </w:r>
      <w:r w:rsidRPr="00D46174">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15</w:t>
      </w:r>
      <w:r w:rsidRPr="00D46174">
        <w:rPr>
          <w:rFonts w:ascii="Times New Roman" w:hAnsi="Times New Roman" w:cs="Times New Roman"/>
          <w:sz w:val="24"/>
          <w:szCs w:val="24"/>
        </w:rPr>
        <w:fldChar w:fldCharType="end"/>
      </w:r>
      <w:r w:rsidR="00AF0276" w:rsidRPr="00AF0276">
        <w:rPr>
          <w:rFonts w:ascii="Times New Roman" w:hAnsi="Times New Roman" w:cs="Times New Roman"/>
          <w:sz w:val="24"/>
          <w:szCs w:val="24"/>
          <w:vertAlign w:val="superscript"/>
        </w:rPr>
        <w:t>,</w:t>
      </w:r>
      <w:r w:rsidR="00AF0276" w:rsidRPr="007E679C">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"abstract" : "Prolonged vitamin A deficiency may cause a severe disorder, hypovitaminosis A, that in turn may result in xerophthalmia and blindness. Although preventable, hypovitaminosis A is still a public health problem in many developing countries. This article presents an overview of the information available about vitamin A deficiency in the world and especially in Brazil. The piece also discusses the social impact of hypovitaminosis A, which is an important determinant of morbidity and mortality among children, and the relevance of prevention in the fight against this disorder. Although some studies have been done in Brazil, the information concerning vitamin A deficiency is not sufficient to determine the magnitude and severity of hypovitaminosis A on a national level, especially due to the small size of the samples studied and to the dearth of clinical and biochemical studies, which often present contradictory results. Nevertheless, it is clear that the intake of vitamin A is below recommended levels among the poor and that most children do not consume the amount recommended by the World Health Organization. In part, this could be remedied by educating people on foods that are rich in vitamin A and by correcting their attitudes toward certain dietary taboos. As part of this effort, schools play a major role in the prevention of vitamin A deficiency, among both students and the broader community.", "author" : [ { "dropping-particle" : "", "family" : "Souza WA", "given" : "Da Costa Vilas Boas OM.", "non-dropping-particle" : "De", "parse-names" : false, "suffix" : "" } ], "container-title" : "Rev Panam Salud Publica.", "id" : "ITEM-1", "issue" : "3", "issued" : { "date-parts" : [ [ "2002" ] ] }, "page" : "3-4", "title" : "Vitamin A deficiency in Brazil : an overview", "type" : "article-journal", "volume" : "12" }, "uris" : [ "http://www.mendeley.com/documents/?uuid=0ba121a9-1584-4439-8a6d-77db0d388c79" ] } ], "mendeley" : { "formattedCitation" : "&lt;sup&gt;16&lt;/sup&gt;", "plainTextFormattedCitation" : "16", "previouslyFormattedCitation" : "&lt;sup&gt;15&lt;/sup&gt;" }, "properties" : { "noteIndex" : 0 }, "schema" : "https://github.com/citation-style-language/schema/raw/master/csl-citation.json" }</w:instrText>
      </w:r>
      <w:r w:rsidR="00AF0276" w:rsidRPr="007E679C">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16</w:t>
      </w:r>
      <w:r w:rsidR="00AF0276" w:rsidRPr="007E679C">
        <w:rPr>
          <w:rFonts w:ascii="Times New Roman" w:hAnsi="Times New Roman" w:cs="Times New Roman"/>
          <w:sz w:val="24"/>
          <w:szCs w:val="24"/>
        </w:rPr>
        <w:fldChar w:fldCharType="end"/>
      </w:r>
      <w:r>
        <w:rPr>
          <w:rFonts w:ascii="Times New Roman" w:hAnsi="Times New Roman" w:cs="Times New Roman"/>
          <w:sz w:val="24"/>
          <w:szCs w:val="24"/>
        </w:rPr>
        <w:t xml:space="preserve"> In 1976, a one-year study of pre-school age children in the Northeastern region identified approximately 1000 children who suffered from blindness due to vitamin A deficiency</w:t>
      </w:r>
      <w:r w:rsidR="00AF0276">
        <w:rPr>
          <w:rFonts w:ascii="Times New Roman" w:hAnsi="Times New Roman" w:cs="Times New Roman"/>
          <w:sz w:val="24"/>
          <w:szCs w:val="24"/>
        </w:rPr>
        <w:t xml:space="preserve"> (VAD), and many more with reversible symptoms of VAD</w:t>
      </w:r>
      <w:r>
        <w:rPr>
          <w:rFonts w:ascii="Times New Roman" w:hAnsi="Times New Roman" w:cs="Times New Roman"/>
          <w:sz w:val="24"/>
          <w:szCs w:val="24"/>
        </w:rPr>
        <w:t>.</w:t>
      </w:r>
      <w:r w:rsidR="003E2918" w:rsidRPr="003E2918">
        <w:rPr>
          <w:rFonts w:ascii="Times New Roman" w:hAnsi="Times New Roman" w:cs="Times New Roman"/>
          <w:sz w:val="24"/>
          <w:szCs w:val="24"/>
          <w:vertAlign w:val="superscript"/>
        </w:rPr>
        <w:t>G</w:t>
      </w:r>
      <w:r w:rsidR="003E2918">
        <w:rPr>
          <w:rFonts w:ascii="Times New Roman" w:hAnsi="Times New Roman" w:cs="Times New Roman"/>
          <w:sz w:val="24"/>
          <w:szCs w:val="24"/>
          <w:vertAlign w:val="superscript"/>
        </w:rPr>
        <w:t>,</w:t>
      </w:r>
      <w:r w:rsidR="003E2918">
        <w:rPr>
          <w:rFonts w:ascii="Times New Roman" w:hAnsi="Times New Roman" w:cs="Times New Roman"/>
          <w:sz w:val="24"/>
          <w:szCs w:val="24"/>
          <w:vertAlign w:val="superscript"/>
        </w:rPr>
        <w:fldChar w:fldCharType="begin" w:fldLock="1"/>
      </w:r>
      <w:r w:rsidR="0044130C">
        <w:rPr>
          <w:rFonts w:ascii="Times New Roman" w:hAnsi="Times New Roman" w:cs="Times New Roman"/>
          <w:sz w:val="24"/>
          <w:szCs w:val="24"/>
          <w:vertAlign w:val="superscript"/>
        </w:rPr>
        <w:instrText>ADDIN CSL_CITATION { "citationItems" : [ { "id" : "ITEM-1", "itemData" : { "ISSN" : "00029165", "PMID" : "1082239", "abstract" : "Dietary and biochemical data have indicated that hypovitaminosis A is a public health problem in Northeast Brazil. However, there are few reports regarding clinical signs of hypovitaminosis A. Therefore, an epidemiological study was designed to study this problem. The study as done was primarily a review of hospital records of xerophthalmia in each state with attention paid to other nutrition factors. It was found that xerophthalmia is a problem in Northeast Brazil and a cause of blindness in certain areas. However, the number varied greatly from some states to others. Around 1,000 preschool-age children were recorded as blind from vitamin A deficiency in a 1-year period. It was also noted that the peak incidence of xerophthalmia and blindness was around 1 year of age. The government of Brazil is taking urgent measures to combat this deficiency with such measures as the supplementation of sugar with vitamin A and the distribution of massive doses of vitamin A.", "author" : [ { "dropping-particle" : "", "family" : "Simmons", "given" : "W. K.", "non-dropping-particle" : "", "parse-names" : false, "suffix" : "" } ], "container-title" : "American Journal of Clinical Nutrition", "id" : "ITEM-1", "issue" : "1", "issued" : { "date-parts" : [ [ "1976" ] ] }, "page" : "116-122", "title" : "Xerophthalmia and blindness in Northeast Brazil.", "type" : "article-journal", "volume" : "29" }, "uris" : [ "http://www.mendeley.com/documents/?uuid=59533dd8-6552-4f85-adb6-4222ab6bf655" ] } ], "mendeley" : { "formattedCitation" : "&lt;sup&gt;17&lt;/sup&gt;", "plainTextFormattedCitation" : "17", "previouslyFormattedCitation" : "&lt;sup&gt;16&lt;/sup&gt;" }, "properties" : { "noteIndex" : 0 }, "schema" : "https://github.com/citation-style-language/schema/raw/master/csl-citation.json" }</w:instrText>
      </w:r>
      <w:r w:rsidR="003E2918">
        <w:rPr>
          <w:rFonts w:ascii="Times New Roman" w:hAnsi="Times New Roman" w:cs="Times New Roman"/>
          <w:sz w:val="24"/>
          <w:szCs w:val="24"/>
          <w:vertAlign w:val="superscript"/>
        </w:rPr>
        <w:fldChar w:fldCharType="separate"/>
      </w:r>
      <w:r w:rsidR="0044130C" w:rsidRPr="0044130C">
        <w:rPr>
          <w:rFonts w:ascii="Times New Roman" w:hAnsi="Times New Roman" w:cs="Times New Roman"/>
          <w:noProof/>
          <w:sz w:val="24"/>
          <w:szCs w:val="24"/>
          <w:vertAlign w:val="superscript"/>
        </w:rPr>
        <w:t>17</w:t>
      </w:r>
      <w:r w:rsidR="003E2918">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Since then, the government has fortified sugar with vitamin A, which is consumed frequently by infants and young children in tea and coffee as well as a gruel made of cassava.</w:t>
      </w:r>
      <w:r w:rsidR="00AF0276">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"ISSN" : "00029165", "PMID" : "1082239", "abstract" : "Dietary and biochemical data have indicated that hypovitaminosis A is a public health problem in Northeast Brazil. However, there are few reports regarding clinical signs of hypovitaminosis A. Therefore, an epidemiological study was designed to study this problem. The study as done was primarily a review of hospital records of xerophthalmia in each state with attention paid to other nutrition factors. It was found that xerophthalmia is a problem in Northeast Brazil and a cause of blindness in certain areas. However, the number varied greatly from some states to others. Around 1,000 preschool-age children were recorded as blind from vitamin A deficiency in a 1-year period. It was also noted that the peak incidence of xerophthalmia and blindness was around 1 year of age. The government of Brazil is taking urgent measures to combat this deficiency with such measures as the supplementation of sugar with vitamin A and the distribution of massive doses of vitamin A.", "author" : [ { "dropping-particle" : "", "family" : "Simmons", "given" : "W. K.", "non-dropping-particle" : "", "parse-names" : false, "suffix" : "" } ], "container-title" : "American Journal of Clinical Nutrition", "id" : "ITEM-1", "issue" : "1", "issued" : { "date-parts" : [ [ "1976" ] ] }, "page" : "116-122", "title" : "Xerophthalmia and blindness in Northeast Brazil.", "type" : "article-journal", "volume" : "29" }, "uris" : [ "http://www.mendeley.com/documents/?uuid=59533dd8-6552-4f85-adb6-4222ab6bf655" ] } ], "mendeley" : { "formattedCitation" : "&lt;sup&gt;17&lt;/sup&gt;", "plainTextFormattedCitation" : "17", "previouslyFormattedCitation" : "&lt;sup&gt;16&lt;/sup&gt;" }, "properties" : { "noteIndex" : 0 }, "schema" : "https://github.com/citation-style-language/schema/raw/master/csl-citation.json" }</w:instrText>
      </w:r>
      <w:r w:rsidR="00AF0276">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17</w:t>
      </w:r>
      <w:r w:rsidR="00AF0276">
        <w:rPr>
          <w:rFonts w:ascii="Times New Roman" w:hAnsi="Times New Roman" w:cs="Times New Roman"/>
          <w:sz w:val="24"/>
          <w:szCs w:val="24"/>
        </w:rPr>
        <w:fldChar w:fldCharType="end"/>
      </w:r>
      <w:r w:rsidR="00AF0276">
        <w:rPr>
          <w:rFonts w:ascii="Times New Roman" w:hAnsi="Times New Roman" w:cs="Times New Roman"/>
          <w:sz w:val="24"/>
          <w:szCs w:val="24"/>
        </w:rPr>
        <w:t xml:space="preserve"> </w:t>
      </w:r>
    </w:p>
    <w:p w:rsidR="00AF0276" w:rsidRDefault="00445508" w:rsidP="001A4DE6">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A</w:t>
      </w:r>
      <w:r w:rsidR="00FE0900">
        <w:rPr>
          <w:rFonts w:ascii="Times New Roman" w:hAnsi="Times New Roman" w:cs="Times New Roman"/>
          <w:sz w:val="24"/>
          <w:szCs w:val="24"/>
        </w:rPr>
        <w:t xml:space="preserve"> study</w:t>
      </w:r>
      <w:r>
        <w:rPr>
          <w:rFonts w:ascii="Times New Roman" w:hAnsi="Times New Roman" w:cs="Times New Roman"/>
          <w:sz w:val="24"/>
          <w:szCs w:val="24"/>
        </w:rPr>
        <w:t xml:space="preserve"> published</w:t>
      </w:r>
      <w:r w:rsidR="00FE0900">
        <w:rPr>
          <w:rFonts w:ascii="Times New Roman" w:hAnsi="Times New Roman" w:cs="Times New Roman"/>
          <w:sz w:val="24"/>
          <w:szCs w:val="24"/>
        </w:rPr>
        <w:t xml:space="preserve"> in</w:t>
      </w:r>
      <w:r>
        <w:rPr>
          <w:rFonts w:ascii="Times New Roman" w:hAnsi="Times New Roman" w:cs="Times New Roman"/>
          <w:sz w:val="24"/>
          <w:szCs w:val="24"/>
        </w:rPr>
        <w:t xml:space="preserve"> 2014 in</w:t>
      </w:r>
      <w:r w:rsidR="00FE0900">
        <w:rPr>
          <w:rFonts w:ascii="Times New Roman" w:hAnsi="Times New Roman" w:cs="Times New Roman"/>
          <w:sz w:val="24"/>
          <w:szCs w:val="24"/>
        </w:rPr>
        <w:t xml:space="preserve"> the northeastern state of Pernambuco associated the 16% prevalence of vitamin A deficiency in children under 5 with inappropriate garbage disposal and diarrhea within the last 2 weeks.</w:t>
      </w:r>
      <w:r w:rsidR="00FE0900">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"ISBN" : "8123201419", "author" : [ { "dropping-particle" : "", "family" : "Karla", "given" : "Weslla", "non-dropping-particle" : "", "parse-names" : false, "suffix" : "" }, { "dropping-particle" : "", "family" : "Albuquerque", "given" : "Paula", "non-dropping-particle" : "", "parse-names" : false, "suffix" : "" }, { "dropping-particle" : "", "family" : "Costa", "given" : "Maria De F\u00e1tima", "non-dropping-particle" : "", "parse-names" : false, "suffix" : "" } ], "container-title" : "Science and Public Health", "id" : "ITEM-1", "issue" : "4", "issued" : { "date-parts" : [ [ "2014" ] ] }, "title" : "Anemia and vitamin A deficiency in children under five years of age assisted by the Family Health Strategy in the state of Pernambuco, Brazil.", "type" : "article-journal", "volume" : "19" }, "uris" : [ "http://www.mendeley.com/documents/?uuid=45f6c1cb-755c-4f1a-ac84-ef290c988a6e" ] } ], "mendeley" : { "formattedCitation" : "&lt;sup&gt;18&lt;/sup&gt;", "plainTextFormattedCitation" : "18", "previouslyFormattedCitation" : "&lt;sup&gt;17&lt;/sup&gt;" }, "properties" : { "noteIndex" : 0 }, "schema" : "https://github.com/citation-style-language/schema/raw/master/csl-citation.json" }</w:instrText>
      </w:r>
      <w:r w:rsidR="00FE0900">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18</w:t>
      </w:r>
      <w:r w:rsidR="00FE0900">
        <w:rPr>
          <w:rFonts w:ascii="Times New Roman" w:hAnsi="Times New Roman" w:cs="Times New Roman"/>
          <w:sz w:val="24"/>
          <w:szCs w:val="24"/>
        </w:rPr>
        <w:fldChar w:fldCharType="end"/>
      </w:r>
      <w:r w:rsidR="00AF0276">
        <w:rPr>
          <w:rFonts w:ascii="Times New Roman" w:hAnsi="Times New Roman" w:cs="Times New Roman"/>
          <w:sz w:val="24"/>
          <w:szCs w:val="24"/>
        </w:rPr>
        <w:t xml:space="preserve"> Therefore, overall improvement in nutritional and health status that leads to reduction in diarrhea may</w:t>
      </w:r>
      <w:r w:rsidR="001A4DE6">
        <w:rPr>
          <w:rFonts w:ascii="Times New Roman" w:hAnsi="Times New Roman" w:cs="Times New Roman"/>
          <w:sz w:val="24"/>
          <w:szCs w:val="24"/>
        </w:rPr>
        <w:t xml:space="preserve"> also</w:t>
      </w:r>
      <w:r w:rsidR="00AF0276">
        <w:rPr>
          <w:rFonts w:ascii="Times New Roman" w:hAnsi="Times New Roman" w:cs="Times New Roman"/>
          <w:sz w:val="24"/>
          <w:szCs w:val="24"/>
        </w:rPr>
        <w:t xml:space="preserve"> improve vitamin A status.</w:t>
      </w:r>
      <w:r w:rsidR="00AF0276">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"DOI" : "10.1016/S0140-6736(11)60138-4", "ISBN" : "01406736", "ISSN" : "01406736", "PMID" : "21561656", "abstract" : "In the past three decades, Brazil has undergone rapid changes in major social determinants of health and in the organisation of health services. In this report, we examine how these changes have affected indicators of maternal health, child health, and child nutrition. We use data from vital statistics, population censuses, demographic and health surveys, and published reports. In the past three decades, infant mortality rates have reduced substantially, decreasing by 5\u00b75 a year in the 1980s and 1990s, and by 4\u00b74 a year since 2000 to reach 20 deaths per 1000 livebirths in 2008. Neonatal deaths account for 68 of infant deaths. Stunting prevalence among children younger than 5 years decreased from 37 in 1974-75 to 7 in 2006-07. Regional differences in stunting and child mortality also decreased. Access to most maternal-health and child-health interventions increased sharply to almost universal coverage, and regional and socioeconomic inequalities in access to such interventions were notably reduced. The median duration of breastfeeding increased from 2\u00b75 months in the 1970s to 14 months by 2006-07. Official statistics show stable maternal mortality ratios during the past 10 years, but modelled data indicate a yearly decrease of 4, a trend which might not have been noticeable in official reports because of improvements in death registration and the increased number of investigations into deaths of women of reproductive age. The reasons behind Brazil's progress include: socioeconomic and demographic changes (economic growth, reduction in income disparities between the poorest and wealthiest populations, urbanisation, improved education of women, and decreased fertility rates), interventions outside the health sector (a conditional cash transfer programme and improvements in water and sanitation), vertical health programmes in the 1980s (promotion of breastfeeding, oral rehydration, and immunisations), creation of a tax-funded national health service in 1988 (coverage of which expanded to reach the poorest areas of the country through the Family Health Program in the mid-1990s); and implementation of many national and state-wide programmes to improve child health and child nutrition and, to a lesser extent, to promote women's health. Nevertheless, substantial challenges remain, including overmedicalisation of childbirth (nearly 50 of babies are delivered by caesarean section), maternal deaths caused by illegal abortions, and a high frequency of preterm deliv\u2026", "author" : [ { "dropping-particle" : "", "family" : "Victora", "given" : "Cesar G.", "non-dropping-particle" : "", "parse-names" : false, "suffix" : "" }, { "dropping-particle" : "", "family" : "Aquino", "given" : "Estela Ml", "non-dropping-particle" : "", "parse-names" : false, "suffix" : "" }, { "dropping-particle" : "", "family" : "Carmo Leal", "given" : "Maria", "non-dropping-particle" : "Do", "parse-names" : false, "suffix" : "" }, { "dropping-particle" : "", "family" : "Monteiro", "given" : "Carlos Augusto", "non-dropping-particle" : "", "parse-names" : false, "suffix" : "" }, { "dropping-particle" : "", "family" : "Barros", "given" : "Fernando C.", "non-dropping-particle" : "", "parse-names" : false, "suffix" : "" }, { "dropping-particle" : "", "family" : "Szwarcwald", "given" : "Celia L.", "non-dropping-particle" : "", "parse-names" : false, "suffix" : "" } ], "container-title" : "The Lancet", "id" : "ITEM-1", "issue" : "9780", "issued" : { "date-parts" : [ [ "2011" ] ] }, "page" : "1863-1876", "publisher" : "Elsevier Ltd", "title" : "Maternal and child health in Brazil: Progress and challenges", "type" : "article-journal", "volume" : "377" }, "uris" : [ "http://www.mendeley.com/documents/?uuid=7f8c0600-da29-4571-8941-41213785870f" ] } ], "mendeley" : { "formattedCitation" : "&lt;sup&gt;19&lt;/sup&gt;", "plainTextFormattedCitation" : "19", "previouslyFormattedCitation" : "&lt;sup&gt;18&lt;/sup&gt;" }, "properties" : { "noteIndex" : 0 }, "schema" : "https://github.com/citation-style-language/schema/raw/master/csl-citation.json" }</w:instrText>
      </w:r>
      <w:r w:rsidR="00AF0276">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19</w:t>
      </w:r>
      <w:r w:rsidR="00AF0276">
        <w:rPr>
          <w:rFonts w:ascii="Times New Roman" w:hAnsi="Times New Roman" w:cs="Times New Roman"/>
          <w:sz w:val="24"/>
          <w:szCs w:val="24"/>
        </w:rPr>
        <w:fldChar w:fldCharType="end"/>
      </w:r>
      <w:r w:rsidR="00FE0900">
        <w:rPr>
          <w:rFonts w:ascii="Times New Roman" w:hAnsi="Times New Roman" w:cs="Times New Roman"/>
          <w:sz w:val="24"/>
          <w:szCs w:val="24"/>
        </w:rPr>
        <w:t xml:space="preserve"> </w:t>
      </w:r>
      <w:r>
        <w:rPr>
          <w:rFonts w:ascii="Times New Roman" w:hAnsi="Times New Roman" w:cs="Times New Roman"/>
          <w:sz w:val="24"/>
          <w:szCs w:val="24"/>
        </w:rPr>
        <w:t>Other r</w:t>
      </w:r>
      <w:r w:rsidRPr="007E679C">
        <w:rPr>
          <w:rFonts w:ascii="Times New Roman" w:hAnsi="Times New Roman" w:cs="Times New Roman"/>
          <w:sz w:val="24"/>
          <w:szCs w:val="24"/>
        </w:rPr>
        <w:t>isk factors for vitamin A deficiency include living in an urban area, mothers older than 25 years old and no consumption of animal meat in the past 7 days.</w:t>
      </w:r>
      <w:r w:rsidRPr="007E679C">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"author" : [ { "dropping-particle" : "", "family" : "Konstantyner T, Warkentin S", "given" : "Taddei JA.", "non-dropping-particle" : "", "parse-names" : false, "suffix" : "" } ], "container-title" : "Food Nutr Bull.", "id" : "ITEM-1", "issue" : "4", "issued" : { "date-parts" : [ [ "2014" ] ] }, "page" : "422-430", "title" : "Prevalence and determinants of vitamin A deficiency among Brazilian children under 2 years of age from the 2006 National Demographic Health Survey.", "type" : "article-journal", "volume" : "35" }, "uris" : [ "http://www.mendeley.com/documents/?uuid=5d253255-22d9-43d0-9005-026f08976a73" ] } ], "mendeley" : { "formattedCitation" : "&lt;sup&gt;20&lt;/sup&gt;", "plainTextFormattedCitation" : "20", "previouslyFormattedCitation" : "&lt;sup&gt;19&lt;/sup&gt;" }, "properties" : { "noteIndex" : 0 }, "schema" : "https://github.com/citation-style-language/schema/raw/master/csl-citation.json" }</w:instrText>
      </w:r>
      <w:r w:rsidRPr="007E679C">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20</w:t>
      </w:r>
      <w:r w:rsidRPr="007E679C">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A4DE6">
        <w:rPr>
          <w:rFonts w:ascii="Times New Roman" w:hAnsi="Times New Roman" w:cs="Times New Roman"/>
          <w:sz w:val="24"/>
          <w:szCs w:val="24"/>
        </w:rPr>
        <w:t xml:space="preserve"> More attention may need to be paid to urban centers in the south. In 1998, </w:t>
      </w:r>
      <w:r w:rsidR="00AF0276">
        <w:rPr>
          <w:rFonts w:ascii="Times New Roman" w:hAnsi="Times New Roman" w:cs="Times New Roman"/>
          <w:sz w:val="24"/>
          <w:szCs w:val="24"/>
        </w:rPr>
        <w:t>the southeastern city of Rio de Janeiro, an analysis of serum retinol showed that 56% of newborns and 14% of pregnant women were vitamin A deficient.</w:t>
      </w:r>
      <w:r w:rsidR="00AF0276">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"id" : "ITEM-1", "issued" : { "date-parts" : [ [ "2000" ] ] }, "publisher-place" : "Rome, Italy", "title" : "FAO - Nutrition Country Profiles: Brazil", "type" : "report" }, "uris" : [ "http://www.mendeley.com/documents/?uuid=2d681cd3-8702-464d-8001-33ad7afa6881" ] } ], "mendeley" : { "formattedCitation" : "&lt;sup&gt;10&lt;/sup&gt;", "plainTextFormattedCitation" : "10", "previouslyFormattedCitation" : "&lt;sup&gt;9&lt;/sup&gt;" }, "properties" : { "noteIndex" : 0 }, "schema" : "https://github.com/citation-style-language/schema/raw/master/csl-citation.json" }</w:instrText>
      </w:r>
      <w:r w:rsidR="00AF0276">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10</w:t>
      </w:r>
      <w:r w:rsidR="00AF0276">
        <w:rPr>
          <w:rFonts w:ascii="Times New Roman" w:hAnsi="Times New Roman" w:cs="Times New Roman"/>
          <w:sz w:val="24"/>
          <w:szCs w:val="24"/>
        </w:rPr>
        <w:fldChar w:fldCharType="end"/>
      </w:r>
      <w:r w:rsidR="001A4DE6">
        <w:rPr>
          <w:rFonts w:ascii="Times New Roman" w:hAnsi="Times New Roman" w:cs="Times New Roman"/>
          <w:sz w:val="24"/>
          <w:szCs w:val="24"/>
        </w:rPr>
        <w:t xml:space="preserve"> </w:t>
      </w:r>
    </w:p>
    <w:p w:rsidR="00FE0900" w:rsidRDefault="00FE0900" w:rsidP="00E904BB">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Anemia is also a concern in certain populations and regions. </w:t>
      </w:r>
      <w:r w:rsidR="00E904BB">
        <w:rPr>
          <w:rFonts w:ascii="Times New Roman" w:hAnsi="Times New Roman" w:cs="Times New Roman"/>
          <w:sz w:val="24"/>
          <w:szCs w:val="24"/>
        </w:rPr>
        <w:t>Among children under 5 in the northeast region of Brazil, anemia was found in 48% in 1992 and 40.9% in 1997.</w:t>
      </w:r>
      <w:r w:rsidR="00E904BB" w:rsidRPr="00E904BB">
        <w:rPr>
          <w:rFonts w:ascii="Times New Roman" w:hAnsi="Times New Roman" w:cs="Times New Roman"/>
          <w:sz w:val="24"/>
          <w:szCs w:val="24"/>
        </w:rPr>
        <w:t xml:space="preserve"> </w:t>
      </w:r>
      <w:r w:rsidR="00E904BB">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"author" : [ { "dropping-particle" : "", "family" : "Os\u00f3rio", "given" : "M\u00f4nica M.", "non-dropping-particle" : "", "parse-names" : false, "suffix" : "" }, { "dropping-particle" : "", "family" : "Lira", "given" : "Pedro I. C.", "non-dropping-particle" : "", "parse-names" : false, "suffix" : "" }, { "dropping-particle" : "", "family" : "BatistaFilho", "given" : "Malaquias", "non-dropping-particle" : "", "parse-names" : false, "suffix" : "" }, { "dropping-particle" : "", "family" : "Ashworth", "given" : "Ann", "non-dropping-particle" : "", "parse-names" : false, "suffix" : "" } ], "id" : "ITEM-1", "issue" : "2", "issued" : { "date-parts" : [ [ "2001" ] ] }, "page" : "2-9", "title" : "Prevalence of anemia in children 6 \u00ad- 59 months old in the state of Pernambuco, Brazil", "type" : "article-journal", "volume" : "10" }, "uris" : [ "http://www.mendeley.com/documents/?uuid=07ed1c0c-ba35-4b55-884e-73cb9d56569e" ] } ], "mendeley" : { "formattedCitation" : "&lt;sup&gt;5&lt;/sup&gt;", "plainTextFormattedCitation" : "5", "previouslyFormattedCitation" : "&lt;sup&gt;4&lt;/sup&gt;" }, "properties" : { "noteIndex" : 0 }, "schema" : "https://github.com/citation-style-language/schema/raw/master/csl-citation.json" }</w:instrText>
      </w:r>
      <w:r w:rsidR="00E904BB">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5</w:t>
      </w:r>
      <w:r w:rsidR="00E904BB">
        <w:rPr>
          <w:rFonts w:ascii="Times New Roman" w:hAnsi="Times New Roman" w:cs="Times New Roman"/>
          <w:sz w:val="24"/>
          <w:szCs w:val="24"/>
        </w:rPr>
        <w:fldChar w:fldCharType="end"/>
      </w:r>
      <w:r w:rsidR="00E904BB" w:rsidRPr="00E904BB">
        <w:rPr>
          <w:rFonts w:ascii="Times New Roman" w:hAnsi="Times New Roman" w:cs="Times New Roman"/>
          <w:sz w:val="24"/>
          <w:szCs w:val="24"/>
          <w:vertAlign w:val="superscript"/>
        </w:rPr>
        <w:t>,</w:t>
      </w:r>
      <w:r w:rsidR="00E904BB">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"id" : "ITEM-1", "issued" : { "date-parts" : [ [ "2000" ] ] }, "publisher-place" : "Rome, Italy", "title" : "FAO - Nutrition Country Profiles: Brazil", "type" : "report" }, "uris" : [ "http://www.mendeley.com/documents/?uuid=2d681cd3-8702-464d-8001-33ad7afa6881" ] } ], "mendeley" : { "formattedCitation" : "&lt;sup&gt;10&lt;/sup&gt;", "plainTextFormattedCitation" : "10", "previouslyFormattedCitation" : "&lt;sup&gt;9&lt;/sup&gt;" }, "properties" : { "noteIndex" : 0 }, "schema" : "https://github.com/citation-style-language/schema/raw/master/csl-citation.json" }</w:instrText>
      </w:r>
      <w:r w:rsidR="00E904BB">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10</w:t>
      </w:r>
      <w:r w:rsidR="00E904BB">
        <w:rPr>
          <w:rFonts w:ascii="Times New Roman" w:hAnsi="Times New Roman" w:cs="Times New Roman"/>
          <w:sz w:val="24"/>
          <w:szCs w:val="24"/>
        </w:rPr>
        <w:fldChar w:fldCharType="end"/>
      </w:r>
      <w:r w:rsidR="00E904BB">
        <w:rPr>
          <w:rFonts w:ascii="Times New Roman" w:hAnsi="Times New Roman" w:cs="Times New Roman"/>
          <w:sz w:val="24"/>
          <w:szCs w:val="24"/>
        </w:rPr>
        <w:t xml:space="preserve"> Data from 1997 indicated higher rates of anemia in </w:t>
      </w:r>
      <w:r w:rsidR="002E457B">
        <w:rPr>
          <w:rFonts w:ascii="Times New Roman" w:hAnsi="Times New Roman" w:cs="Times New Roman"/>
          <w:sz w:val="24"/>
          <w:szCs w:val="24"/>
        </w:rPr>
        <w:t>children ages 6-23 months compared to the 24-59 month old group</w:t>
      </w:r>
      <w:r w:rsidR="00E904BB">
        <w:rPr>
          <w:rFonts w:ascii="Times New Roman" w:hAnsi="Times New Roman" w:cs="Times New Roman"/>
          <w:sz w:val="24"/>
          <w:szCs w:val="24"/>
        </w:rPr>
        <w:t>, and increased prevalence of anemia in rural areas compared to urban areas.</w:t>
      </w:r>
      <w:r w:rsidR="00E904BB">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"author" : [ { "dropping-particle" : "", "family" : "Os\u00f3rio", "given" : "M\u00f4nica M.", "non-dropping-particle" : "", "parse-names" : false, "suffix" : "" }, { "dropping-particle" : "", "family" : "Lira", "given" : "Pedro I. C.", "non-dropping-particle" : "", "parse-names" : false, "suffix" : "" }, { "dropping-particle" : "", "family" : "BatistaFilho", "given" : "Malaquias", "non-dropping-particle" : "", "parse-names" : false, "suffix" : "" }, { "dropping-particle" : "", "family" : "Ashworth", "given" : "Ann", "non-dropping-particle" : "", "parse-names" : false, "suffix" : "" } ], "id" : "ITEM-1", "issue" : "2", "issued" : { "date-parts" : [ [ "2001" ] ] }, "page" : "2-9", "title" : "Prevalence of anemia in children 6 \u00ad- 59 months old in the state of Pernambuco, Brazil", "type" : "article-journal", "volume" : "10" }, "uris" : [ "http://www.mendeley.com/documents/?uuid=07ed1c0c-ba35-4b55-884e-73cb9d56569e" ] } ], "mendeley" : { "formattedCitation" : "&lt;sup&gt;5&lt;/sup&gt;", "plainTextFormattedCitation" : "5", "previouslyFormattedCitation" : "&lt;sup&gt;4&lt;/sup&gt;" }, "properties" : { "noteIndex" : 0 }, "schema" : "https://github.com/citation-style-language/schema/raw/master/csl-citation.json" }</w:instrText>
      </w:r>
      <w:r w:rsidR="00E904BB">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5</w:t>
      </w:r>
      <w:r w:rsidR="00E904BB">
        <w:rPr>
          <w:rFonts w:ascii="Times New Roman" w:hAnsi="Times New Roman" w:cs="Times New Roman"/>
          <w:sz w:val="24"/>
          <w:szCs w:val="24"/>
        </w:rPr>
        <w:fldChar w:fldCharType="end"/>
      </w:r>
      <w:r w:rsidR="00E904BB">
        <w:rPr>
          <w:rFonts w:ascii="Times New Roman" w:hAnsi="Times New Roman" w:cs="Times New Roman"/>
          <w:sz w:val="24"/>
          <w:szCs w:val="24"/>
        </w:rPr>
        <w:t xml:space="preserve"> </w:t>
      </w:r>
      <w:r w:rsidR="003719F8">
        <w:rPr>
          <w:rFonts w:ascii="Times New Roman" w:hAnsi="Times New Roman" w:cs="Times New Roman"/>
          <w:sz w:val="24"/>
          <w:szCs w:val="24"/>
        </w:rPr>
        <w:t>Since then</w:t>
      </w:r>
      <w:r w:rsidR="00AF75D5">
        <w:rPr>
          <w:rFonts w:ascii="Times New Roman" w:hAnsi="Times New Roman" w:cs="Times New Roman"/>
          <w:sz w:val="24"/>
          <w:szCs w:val="24"/>
        </w:rPr>
        <w:t xml:space="preserve">, </w:t>
      </w:r>
      <w:r w:rsidR="003719F8">
        <w:rPr>
          <w:rFonts w:ascii="Times New Roman" w:hAnsi="Times New Roman" w:cs="Times New Roman"/>
          <w:sz w:val="24"/>
          <w:szCs w:val="24"/>
        </w:rPr>
        <w:t>studies in the northeastern state of Pernambuco</w:t>
      </w:r>
      <w:r w:rsidR="00445508">
        <w:rPr>
          <w:rFonts w:ascii="Times New Roman" w:hAnsi="Times New Roman" w:cs="Times New Roman"/>
          <w:sz w:val="24"/>
          <w:szCs w:val="24"/>
        </w:rPr>
        <w:t xml:space="preserve"> have</w:t>
      </w:r>
      <w:r w:rsidR="003719F8">
        <w:rPr>
          <w:rFonts w:ascii="Times New Roman" w:hAnsi="Times New Roman" w:cs="Times New Roman"/>
          <w:sz w:val="24"/>
          <w:szCs w:val="24"/>
        </w:rPr>
        <w:t xml:space="preserve"> found </w:t>
      </w:r>
      <w:r w:rsidR="00AF75D5">
        <w:rPr>
          <w:rFonts w:ascii="Times New Roman" w:hAnsi="Times New Roman" w:cs="Times New Roman"/>
          <w:sz w:val="24"/>
          <w:szCs w:val="24"/>
        </w:rPr>
        <w:t xml:space="preserve">a </w:t>
      </w:r>
      <w:r w:rsidR="003719F8">
        <w:rPr>
          <w:rFonts w:ascii="Times New Roman" w:hAnsi="Times New Roman" w:cs="Times New Roman"/>
          <w:sz w:val="24"/>
          <w:szCs w:val="24"/>
        </w:rPr>
        <w:t>35% prevalence rate of anemia among children under 5 in 2006.</w:t>
      </w:r>
      <w:r w:rsidR="00AF75D5">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"author" : [ { "dropping-particle" : "", "family" : "Os\u00f3rio", "given" : "M\u00f4nica M.", "non-dropping-particle" : "", "parse-names" : false, "suffix" : "" }, { "dropping-particle" : "", "family" : "Lira", "given" : "Pedro I. C.", "non-dropping-particle" : "", "parse-names" : false, "suffix" : "" }, { "dropping-particle" : "", "family" : "BatistaFilho", "given" : "Malaquias", "non-dropping-particle" : "", "parse-names" : false, "suffix" : "" }, { "dropping-particle" : "", "family" : "Ashworth", "given" : "Ann", "non-dropping-particle" : "", "parse-names" : false, "suffix" : "" } ], "id" : "ITEM-1", "issue" : "2", "issued" : { "date-parts" : [ [ "2001" ] ] }, "page" : "2-9", "title" : "Prevalence of anemia in children 6 \u00ad- 59 months old in the state of Pernambuco, Brazil", "type" : "article-journal", "volume" : "10" }, "uris" : [ "http://www.mendeley.com/documents/?uuid=07ed1c0c-ba35-4b55-884e-73cb9d56569e" ] }, { "id" : "ITEM-2", "itemData" : { "ISBN" : "8123201419", "author" : [ { "dropping-particle" : "", "family" : "Karla", "given" : "Weslla", "non-dropping-particle" : "", "parse-names" : false, "suffix" : "" }, { "dropping-particle" : "", "family" : "Albuquerque", "given" : "Paula", "non-dropping-particle" : "", "parse-names" : false, "suffix" : "" }, { "dropping-particle" : "", "family" : "Costa", "given" : "Maria De F\u00e1tima", "non-dropping-particle" : "", "parse-names" : false, "suffix" : "" } ], "container-title" : "Science and Public Health", "id" : "ITEM-2", "issue" : "4", "issued" : { "date-parts" : [ [ "2014" ] ] }, "title" : "Anemia and vitamin A deficiency in children under five years of age assisted by the Family Health Strategy in the state of Pernambuco, Brazil.", "type" : "article-journal", "volume" : "19" }, "uris" : [ "http://www.mendeley.com/documents/?uuid=45f6c1cb-755c-4f1a-ac84-ef290c988a6e" ] } ], "mendeley" : { "formattedCitation" : "&lt;sup&gt;5,18&lt;/sup&gt;", "plainTextFormattedCitation" : "5,18", "previouslyFormattedCitation" : "&lt;sup&gt;4,17&lt;/sup&gt;" }, "properties" : { "noteIndex" : 0 }, "schema" : "https://github.com/citation-style-language/schema/raw/master/csl-citation.json" }</w:instrText>
      </w:r>
      <w:r w:rsidR="00AF75D5">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5,18</w:t>
      </w:r>
      <w:r w:rsidR="00AF75D5">
        <w:rPr>
          <w:rFonts w:ascii="Times New Roman" w:hAnsi="Times New Roman" w:cs="Times New Roman"/>
          <w:sz w:val="24"/>
          <w:szCs w:val="24"/>
        </w:rPr>
        <w:fldChar w:fldCharType="end"/>
      </w:r>
      <w:r w:rsidR="003719F8">
        <w:rPr>
          <w:rFonts w:ascii="Times New Roman" w:hAnsi="Times New Roman" w:cs="Times New Roman"/>
          <w:sz w:val="24"/>
          <w:szCs w:val="24"/>
        </w:rPr>
        <w:t xml:space="preserve"> </w:t>
      </w:r>
      <w:r w:rsidR="0028177B">
        <w:rPr>
          <w:rFonts w:ascii="Times New Roman" w:hAnsi="Times New Roman" w:cs="Times New Roman"/>
          <w:sz w:val="24"/>
          <w:szCs w:val="24"/>
        </w:rPr>
        <w:t>Although the anemia prevalence</w:t>
      </w:r>
      <w:r w:rsidR="005F458D">
        <w:rPr>
          <w:rFonts w:ascii="Times New Roman" w:hAnsi="Times New Roman" w:cs="Times New Roman"/>
          <w:sz w:val="24"/>
          <w:szCs w:val="24"/>
        </w:rPr>
        <w:t xml:space="preserve"> shows improvement over time</w:t>
      </w:r>
      <w:r w:rsidR="001A4DE6">
        <w:rPr>
          <w:rFonts w:ascii="Times New Roman" w:hAnsi="Times New Roman" w:cs="Times New Roman"/>
          <w:sz w:val="24"/>
          <w:szCs w:val="24"/>
        </w:rPr>
        <w:t>, anemia is clearly a more significant problem</w:t>
      </w:r>
      <w:r w:rsidR="002E457B">
        <w:rPr>
          <w:rFonts w:ascii="Times New Roman" w:hAnsi="Times New Roman" w:cs="Times New Roman"/>
          <w:sz w:val="24"/>
          <w:szCs w:val="24"/>
        </w:rPr>
        <w:t xml:space="preserve"> in the northeastern region</w:t>
      </w:r>
      <w:r w:rsidR="005F458D">
        <w:rPr>
          <w:rFonts w:ascii="Times New Roman" w:hAnsi="Times New Roman" w:cs="Times New Roman"/>
          <w:sz w:val="24"/>
          <w:szCs w:val="24"/>
        </w:rPr>
        <w:t>,</w:t>
      </w:r>
      <w:r w:rsidR="005F458D" w:rsidRPr="005F458D">
        <w:rPr>
          <w:rFonts w:ascii="Times New Roman" w:hAnsi="Times New Roman" w:cs="Times New Roman"/>
          <w:sz w:val="24"/>
          <w:szCs w:val="24"/>
        </w:rPr>
        <w:t xml:space="preserve"> </w:t>
      </w:r>
      <w:r w:rsidR="005F458D">
        <w:rPr>
          <w:rFonts w:ascii="Times New Roman" w:hAnsi="Times New Roman" w:cs="Times New Roman"/>
          <w:sz w:val="24"/>
          <w:szCs w:val="24"/>
        </w:rPr>
        <w:t xml:space="preserve">compared to a 21.8% country-wide rate of anemia in children under 5 in 2006. </w:t>
      </w:r>
      <w:r w:rsidR="000B09E5">
        <w:rPr>
          <w:rFonts w:ascii="Times New Roman" w:hAnsi="Times New Roman" w:cs="Times New Roman"/>
          <w:sz w:val="24"/>
          <w:szCs w:val="24"/>
        </w:rPr>
        <w:t>(See Table 1.2)</w:t>
      </w:r>
    </w:p>
    <w:p w:rsidR="00E904BB" w:rsidRDefault="00E904BB" w:rsidP="00215E22">
      <w:pPr>
        <w:spacing w:line="360" w:lineRule="auto"/>
        <w:ind w:firstLine="720"/>
        <w:rPr>
          <w:rFonts w:ascii="Times New Roman" w:hAnsi="Times New Roman" w:cs="Times New Roman"/>
          <w:sz w:val="24"/>
          <w:szCs w:val="24"/>
        </w:rPr>
      </w:pPr>
      <w:r>
        <w:rPr>
          <w:rFonts w:ascii="Times New Roman" w:hAnsi="Times New Roman" w:cs="Times New Roman"/>
          <w:sz w:val="24"/>
          <w:szCs w:val="24"/>
        </w:rPr>
        <w:t>T</w:t>
      </w:r>
      <w:r w:rsidR="00286E94">
        <w:rPr>
          <w:rFonts w:ascii="Times New Roman" w:hAnsi="Times New Roman" w:cs="Times New Roman"/>
          <w:sz w:val="24"/>
          <w:szCs w:val="24"/>
        </w:rPr>
        <w:t>here is no evidence to suggest that Brazil meets the WHO</w:t>
      </w:r>
      <w:r>
        <w:rPr>
          <w:rFonts w:ascii="Times New Roman" w:hAnsi="Times New Roman" w:cs="Times New Roman"/>
          <w:sz w:val="24"/>
          <w:szCs w:val="24"/>
        </w:rPr>
        <w:t xml:space="preserve"> criteria for iodine deficiency.</w:t>
      </w:r>
      <w:r w:rsidRPr="00E904BB">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"author" : [ { "dropping-particle" : "", "family" : "Macedo", "given" : "Mariana de Souza", "non-dropping-particle" : "", "parse-names" : false, "suffix" : "" }, { "dropping-particle" : "", "family" : "Teixeira", "given" : "Romero Alves", "non-dropping-particle" : "", "parse-names" : false, "suffix" : "" }, { "dropping-particle" : "", "family" : "Bonomo", "given" : "\u00c9lido", "non-dropping-particle" : "", "parse-names" : false, "suffix" : "" }, { "dropping-particle" : "da", "family" : "Silva", "given" : "Camilo Adalton Mariano", "non-dropping-particle" : "", "parse-names" : false, "suffix" : "" }, { "dropping-particle" : "", "family" : "Carneiro", "given" : "Mari\u00e2ngela", "non-dropping-particle" : "", "parse-names" : false, "suffix" : "" }, { "dropping-particle" : "", "family" : "Silva", "given" : "Marcelo Eust\u00e1quio", "non-dropping-particle" : "", "parse-names" : false, "suffix" : "" }, { "dropping-particle" : "", "family" : "Sakurai", "given" : "Em\u00edlia", "non-dropping-particle" : "", "parse-names" : false, "suffix" : "" }, { "dropping-particle" : "", "family" : "Lamounier", "given" : "Joel Alves", "non-dropping-particle" : "", "parse-names" : false, "suffix" : "" } ], "container-title" : "Food and Nutrition Sciences", "id" : "ITEM-1", "issued" : { "date-parts" : [ [ "2014" ] ] }, "page" : "2008-2019", "title" : "Iodine malnutrition and associated factors in schoolchildren aged 6 to 14 years in a municipality situated in the semiarid region of the state of Minas Gerais, Brazil, 2008.", "type" : "article-journal" }, "uris" : [ "http://www.mendeley.com/documents/?uuid=b46696a2-bc7d-4213-909d-e2b6c5ea22eb" ] } ], "mendeley" : { "formattedCitation" : "&lt;sup&gt;21&lt;/sup&gt;", "plainTextFormattedCitation" : "21", "previouslyFormattedCitation" : "&lt;sup&gt;20&lt;/sup&gt;" }, "properties" : { "noteIndex" : 0 }, "schema" : "https://github.com/citation-style-language/schema/raw/master/csl-citation.json" }</w:instrText>
      </w:r>
      <w:r>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86E94">
        <w:rPr>
          <w:rFonts w:ascii="Times New Roman" w:hAnsi="Times New Roman" w:cs="Times New Roman"/>
          <w:sz w:val="24"/>
          <w:szCs w:val="24"/>
        </w:rPr>
        <w:t>A study in 2001 of 21 villages in 8 different states indicated that the prevalence of goiter was low and the consumption of iodine was adequate, based on urinary iodine excretion, thyroid volume and levels of salt iodization.</w:t>
      </w:r>
      <w:r w:rsidR="00286E94">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"DOI" : "10.1089/105072501750362727", "ISSN" : "1050-7256", "PMID" : "11484894", "author" : [ { "dropping-particle" : "", "family" : "Rossi", "given" : "A C", "non-dropping-particle" : "", "parse-names" : false, "suffix" : "" }, { "dropping-particle" : "", "family" : "Tomimori", "given" : "E", "non-dropping-particle" : "", "parse-names" : false, "suffix" : "" }, { "dropping-particle" : "", "family" : "Camargo", "given" : "R", "non-dropping-particle" : "", "parse-names" : false, "suffix" : "" }, { "dropping-particle" : "", "family" : "Medeiros-Neto", "given" : "G", "non-dropping-particle" : "", "parse-names" : false, "suffix" : "" } ], "container-title" : "Thyroid : official journal of the American Thyroid Association", "id" : "ITEM-1", "issue" : "7", "issued" : { "date-parts" : [ [ "2001" ] ] }, "page" : "661-663", "title" : "Searching for iodine deficiency disorders in schoolchildren from Brazil: the Thyromobil project.", "type" : "article-journal", "volume" : "11" }, "uris" : [ "http://www.mendeley.com/documents/?uuid=9a33fc96-2784-464b-a2f3-34dc53240df2" ] } ], "mendeley" : { "formattedCitation" : "&lt;sup&gt;22&lt;/sup&gt;", "plainTextFormattedCitation" : "22", "previouslyFormattedCitation" : "&lt;sup&gt;21&lt;/sup&gt;" }, "properties" : { "noteIndex" : 0 }, "schema" : "https://github.com/citation-style-language/schema/raw/master/csl-citation.json" }</w:instrText>
      </w:r>
      <w:r w:rsidR="00286E94">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22</w:t>
      </w:r>
      <w:r w:rsidR="00286E94">
        <w:rPr>
          <w:rFonts w:ascii="Times New Roman" w:hAnsi="Times New Roman" w:cs="Times New Roman"/>
          <w:sz w:val="24"/>
          <w:szCs w:val="24"/>
        </w:rPr>
        <w:fldChar w:fldCharType="end"/>
      </w:r>
      <w:r w:rsidR="00286E94">
        <w:rPr>
          <w:rFonts w:ascii="Times New Roman" w:hAnsi="Times New Roman" w:cs="Times New Roman"/>
          <w:sz w:val="24"/>
          <w:szCs w:val="24"/>
        </w:rPr>
        <w:t xml:space="preserve"> According to UNICEF, 95.7% of all salt consumed in Brazil was </w:t>
      </w:r>
      <w:r w:rsidR="00FB50E6">
        <w:rPr>
          <w:rFonts w:ascii="Times New Roman" w:hAnsi="Times New Roman" w:cs="Times New Roman"/>
          <w:sz w:val="24"/>
          <w:szCs w:val="24"/>
        </w:rPr>
        <w:t xml:space="preserve">appropriately </w:t>
      </w:r>
      <w:r w:rsidR="00286E94">
        <w:rPr>
          <w:rFonts w:ascii="Times New Roman" w:hAnsi="Times New Roman" w:cs="Times New Roman"/>
          <w:sz w:val="24"/>
          <w:szCs w:val="24"/>
        </w:rPr>
        <w:t>iodized in 2012.</w:t>
      </w:r>
      <w:r w:rsidR="00286E94">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"URL" : "http://www.unicef.org/infobycountry/brazil_statistics.html", "accessed" : { "date-parts" : [ [ "2015", "4", "10" ] ] }, "author" : [ { "dropping-particle" : "", "family" : "UNICEF", "given" : "", "non-dropping-particle" : "", "parse-names" : false, "suffix" : "" } ], "id" : "ITEM-1", "issued" : { "date-parts" : [ [ "2013" ] ] }, "title" : "Statistics: Brazil", "type" : "webpage" }, "uris" : [ "http://www.mendeley.com/documents/?uuid=fecde60b-d477-4260-b66d-f16cc3c15d4c" ] } ], "mendeley" : { "formattedCitation" : "&lt;sup&gt;23&lt;/sup&gt;", "plainTextFormattedCitation" : "23", "previouslyFormattedCitation" : "&lt;sup&gt;22&lt;/sup&gt;" }, "properties" : { "noteIndex" : 0 }, "schema" : "https://github.com/citation-style-language/schema/raw/master/csl-citation.json" }</w:instrText>
      </w:r>
      <w:r w:rsidR="00286E94">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23</w:t>
      </w:r>
      <w:r w:rsidR="00286E94">
        <w:rPr>
          <w:rFonts w:ascii="Times New Roman" w:hAnsi="Times New Roman" w:cs="Times New Roman"/>
          <w:sz w:val="24"/>
          <w:szCs w:val="24"/>
        </w:rPr>
        <w:fldChar w:fldCharType="end"/>
      </w:r>
      <w:r w:rsidR="00286E94">
        <w:rPr>
          <w:rFonts w:ascii="Times New Roman" w:hAnsi="Times New Roman" w:cs="Times New Roman"/>
          <w:sz w:val="24"/>
          <w:szCs w:val="24"/>
        </w:rPr>
        <w:t xml:space="preserve"> </w:t>
      </w:r>
    </w:p>
    <w:p w:rsidR="00A625A2" w:rsidRDefault="00E904BB" w:rsidP="00215E22">
      <w:pPr>
        <w:spacing w:line="360" w:lineRule="auto"/>
        <w:ind w:firstLine="720"/>
        <w:rPr>
          <w:rFonts w:ascii="Times New Roman" w:hAnsi="Times New Roman" w:cs="Times New Roman"/>
          <w:sz w:val="24"/>
          <w:szCs w:val="24"/>
        </w:rPr>
      </w:pPr>
      <w:r>
        <w:rPr>
          <w:rFonts w:ascii="Times New Roman" w:hAnsi="Times New Roman" w:cs="Times New Roman"/>
          <w:sz w:val="24"/>
          <w:szCs w:val="24"/>
        </w:rPr>
        <w:t>However, there are still at-risk populations that require continued monitoring. I</w:t>
      </w:r>
      <w:r w:rsidR="00951286">
        <w:rPr>
          <w:rFonts w:ascii="Times New Roman" w:hAnsi="Times New Roman" w:cs="Times New Roman"/>
          <w:sz w:val="24"/>
          <w:szCs w:val="24"/>
        </w:rPr>
        <w:t>n 1995</w:t>
      </w:r>
      <w:r w:rsidR="00286E94">
        <w:rPr>
          <w:rFonts w:ascii="Times New Roman" w:hAnsi="Times New Roman" w:cs="Times New Roman"/>
          <w:sz w:val="24"/>
          <w:szCs w:val="24"/>
        </w:rPr>
        <w:t xml:space="preserve"> a study found that</w:t>
      </w:r>
      <w:r w:rsidR="00A625A2">
        <w:rPr>
          <w:rFonts w:ascii="Times New Roman" w:hAnsi="Times New Roman" w:cs="Times New Roman"/>
          <w:sz w:val="24"/>
          <w:szCs w:val="24"/>
        </w:rPr>
        <w:t xml:space="preserve"> the western state of Mato Grosso and the northern state of Roraima</w:t>
      </w:r>
      <w:r w:rsidR="00286E94">
        <w:rPr>
          <w:rFonts w:ascii="Times New Roman" w:hAnsi="Times New Roman" w:cs="Times New Roman"/>
          <w:sz w:val="24"/>
          <w:szCs w:val="24"/>
        </w:rPr>
        <w:t xml:space="preserve"> had</w:t>
      </w:r>
      <w:r w:rsidR="00A625A2">
        <w:rPr>
          <w:rFonts w:ascii="Times New Roman" w:hAnsi="Times New Roman" w:cs="Times New Roman"/>
          <w:sz w:val="24"/>
          <w:szCs w:val="24"/>
        </w:rPr>
        <w:t xml:space="preserve"> a 20% prevalence</w:t>
      </w:r>
      <w:r w:rsidR="00286E94">
        <w:rPr>
          <w:rFonts w:ascii="Times New Roman" w:hAnsi="Times New Roman" w:cs="Times New Roman"/>
          <w:sz w:val="24"/>
          <w:szCs w:val="24"/>
        </w:rPr>
        <w:t xml:space="preserve"> of iodine deficiency</w:t>
      </w:r>
      <w:r w:rsidR="00A625A2">
        <w:rPr>
          <w:rFonts w:ascii="Times New Roman" w:hAnsi="Times New Roman" w:cs="Times New Roman"/>
          <w:sz w:val="24"/>
          <w:szCs w:val="24"/>
        </w:rPr>
        <w:t>.</w:t>
      </w:r>
      <w:r w:rsidR="00286E94">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"id" : "ITEM-1", "issued" : { "date-parts" : [ [ "2000" ] ] }, "publisher-place" : "Rome, Italy", "title" : "FAO - Nutrition Country Profiles: Brazil", "type" : "report" }, "uris" : [ "http://www.mendeley.com/documents/?uuid=2d681cd3-8702-464d-8001-33ad7afa6881" ] } ], "mendeley" : { "formattedCitation" : "&lt;sup&gt;10&lt;/sup&gt;", "plainTextFormattedCitation" : "10", "previouslyFormattedCitation" : "&lt;sup&gt;9&lt;/sup&gt;" }, "properties" : { "noteIndex" : 0 }, "schema" : "https://github.com/citation-style-language/schema/raw/master/csl-citation.json" }</w:instrText>
      </w:r>
      <w:r w:rsidR="00286E94">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10</w:t>
      </w:r>
      <w:r w:rsidR="00286E94">
        <w:rPr>
          <w:rFonts w:ascii="Times New Roman" w:hAnsi="Times New Roman" w:cs="Times New Roman"/>
          <w:sz w:val="24"/>
          <w:szCs w:val="24"/>
        </w:rPr>
        <w:fldChar w:fldCharType="end"/>
      </w:r>
      <w:r w:rsidR="00951286">
        <w:rPr>
          <w:rFonts w:ascii="Times New Roman" w:hAnsi="Times New Roman" w:cs="Times New Roman"/>
          <w:sz w:val="24"/>
          <w:szCs w:val="24"/>
        </w:rPr>
        <w:t xml:space="preserve"> </w:t>
      </w:r>
      <w:r w:rsidR="00286E94">
        <w:rPr>
          <w:rFonts w:ascii="Times New Roman" w:hAnsi="Times New Roman" w:cs="Times New Roman"/>
          <w:sz w:val="24"/>
          <w:szCs w:val="24"/>
        </w:rPr>
        <w:t>In 2008, schoolchildren ages 6-14 in the western state of Minas Gerais were found to have a 38.9% prevalence of iodine deficiency, of which 10.2% were moderately or seriously deficient.</w:t>
      </w:r>
      <w:r w:rsidR="00286E94">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"author" : [ { "dropping-particle" : "", "family" : "Macedo", "given" : "Mariana de Souza", "non-dropping-particle" : "", "parse-names" : false, "suffix" : "" }, { "dropping-particle" : "", "family" : "Teixeira", "given" : "Romero Alves", "non-dropping-particle" : "", "parse-names" : false, "suffix" : "" }, { "dropping-particle" : "", "family" : "Bonomo", "given" : "\u00c9lido", "non-dropping-particle" : "", "parse-names" : false, "suffix" : "" }, { "dropping-particle" : "da", "family" : "Silva", "given" : "Camilo Adalton Mariano", "non-dropping-particle" : "", "parse-names" : false, "suffix" : "" }, { "dropping-particle" : "", "family" : "Carneiro", "given" : "Mari\u00e2ngela", "non-dropping-particle" : "", "parse-names" : false, "suffix" : "" }, { "dropping-particle" : "", "family" : "Silva", "given" : "Marcelo Eust\u00e1quio", "non-dropping-particle" : "", "parse-names" : false, "suffix" : "" }, { "dropping-particle" : "", "family" : "Sakurai", "given" : "Em\u00edlia", "non-dropping-particle" : "", "parse-names" : false, "suffix" : "" }, { "dropping-particle" : "", "family" : "Lamounier", "given" : "Joel Alves", "non-dropping-particle" : "", "parse-names" : false, "suffix" : "" } ], "container-title" : "Food and Nutrition Sciences", "id" : "ITEM-1", "issued" : { "date-parts" : [ [ "2014" ] ] }, "page" : "2008-2019", "title" : "Iodine malnutrition and associated factors in schoolchildren aged 6 to 14 years in a municipality situated in the semiarid region of the state of Minas Gerais, Brazil, 2008.", "type" : "article-journal" }, "uris" : [ "http://www.mendeley.com/documents/?uuid=b46696a2-bc7d-4213-909d-e2b6c5ea22eb" ] } ], "mendeley" : { "formattedCitation" : "&lt;sup&gt;21&lt;/sup&gt;", "plainTextFormattedCitation" : "21", "previouslyFormattedCitation" : "&lt;sup&gt;20&lt;/sup&gt;" }, "properties" : { "noteIndex" : 0 }, "schema" : "https://github.com/citation-style-language/schema/raw/master/csl-citation.json" }</w:instrText>
      </w:r>
      <w:r w:rsidR="00286E94">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21</w:t>
      </w:r>
      <w:r w:rsidR="00286E94">
        <w:rPr>
          <w:rFonts w:ascii="Times New Roman" w:hAnsi="Times New Roman" w:cs="Times New Roman"/>
          <w:sz w:val="24"/>
          <w:szCs w:val="24"/>
        </w:rPr>
        <w:fldChar w:fldCharType="end"/>
      </w:r>
      <w:r w:rsidR="00286E94">
        <w:rPr>
          <w:rFonts w:ascii="Times New Roman" w:hAnsi="Times New Roman" w:cs="Times New Roman"/>
          <w:sz w:val="24"/>
          <w:szCs w:val="24"/>
        </w:rPr>
        <w:t xml:space="preserve"> </w:t>
      </w:r>
      <w:r w:rsidR="00AF5949">
        <w:rPr>
          <w:rFonts w:ascii="Times New Roman" w:hAnsi="Times New Roman" w:cs="Times New Roman"/>
          <w:sz w:val="24"/>
          <w:szCs w:val="24"/>
        </w:rPr>
        <w:t xml:space="preserve"> C</w:t>
      </w:r>
      <w:r w:rsidR="00286E94">
        <w:rPr>
          <w:rFonts w:ascii="Times New Roman" w:hAnsi="Times New Roman" w:cs="Times New Roman"/>
          <w:sz w:val="24"/>
          <w:szCs w:val="24"/>
        </w:rPr>
        <w:t xml:space="preserve">ontinued monitoring is important in </w:t>
      </w:r>
      <w:r w:rsidR="001A4DE6">
        <w:rPr>
          <w:rFonts w:ascii="Times New Roman" w:hAnsi="Times New Roman" w:cs="Times New Roman"/>
          <w:sz w:val="24"/>
          <w:szCs w:val="24"/>
        </w:rPr>
        <w:t xml:space="preserve">these </w:t>
      </w:r>
      <w:r w:rsidR="00286E94">
        <w:rPr>
          <w:rFonts w:ascii="Times New Roman" w:hAnsi="Times New Roman" w:cs="Times New Roman"/>
          <w:sz w:val="24"/>
          <w:szCs w:val="24"/>
        </w:rPr>
        <w:t>at-risk populations where iodine in the soil or access to iodized salt may be low.</w:t>
      </w:r>
    </w:p>
    <w:p w:rsidR="00AF75D5" w:rsidRDefault="00E904BB" w:rsidP="00E904BB">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although Brazil has made a lot of progress in terms of the nutritional status of its citizens, there is still a lot of work to be done, especially in certain </w:t>
      </w:r>
      <w:r w:rsidR="00FB50E6">
        <w:rPr>
          <w:rFonts w:ascii="Times New Roman" w:hAnsi="Times New Roman" w:cs="Times New Roman"/>
          <w:sz w:val="24"/>
          <w:szCs w:val="24"/>
        </w:rPr>
        <w:t xml:space="preserve">key </w:t>
      </w:r>
      <w:r>
        <w:rPr>
          <w:rFonts w:ascii="Times New Roman" w:hAnsi="Times New Roman" w:cs="Times New Roman"/>
          <w:sz w:val="24"/>
          <w:szCs w:val="24"/>
        </w:rPr>
        <w:t>populations.</w:t>
      </w:r>
    </w:p>
    <w:p w:rsidR="007E4D8E" w:rsidRPr="006C28EB" w:rsidRDefault="00FE0900">
      <w:pPr>
        <w:rPr>
          <w:rFonts w:ascii="Times New Roman" w:hAnsi="Times New Roman" w:cs="Times New Roman"/>
          <w:b/>
          <w:sz w:val="24"/>
          <w:szCs w:val="24"/>
        </w:rPr>
      </w:pPr>
      <w:r w:rsidRPr="006C28EB">
        <w:rPr>
          <w:rFonts w:ascii="Times New Roman" w:hAnsi="Times New Roman" w:cs="Times New Roman"/>
          <w:b/>
          <w:sz w:val="24"/>
          <w:szCs w:val="24"/>
        </w:rPr>
        <w:lastRenderedPageBreak/>
        <w:t>Definitions</w:t>
      </w:r>
    </w:p>
    <w:p w:rsidR="006C28EB" w:rsidRPr="006C28EB" w:rsidRDefault="006C28EB">
      <w:pPr>
        <w:rPr>
          <w:rFonts w:ascii="Times New Roman" w:hAnsi="Times New Roman" w:cs="Times New Roman"/>
          <w:sz w:val="24"/>
          <w:szCs w:val="24"/>
        </w:rPr>
      </w:pPr>
      <w:r w:rsidRPr="006C28EB">
        <w:rPr>
          <w:rFonts w:ascii="Times New Roman" w:hAnsi="Times New Roman" w:cs="Times New Roman"/>
          <w:sz w:val="24"/>
          <w:szCs w:val="24"/>
          <w:vertAlign w:val="superscript"/>
        </w:rPr>
        <w:t xml:space="preserve">A </w:t>
      </w:r>
      <w:r w:rsidRPr="006C28EB">
        <w:rPr>
          <w:rFonts w:ascii="Times New Roman" w:hAnsi="Times New Roman" w:cs="Times New Roman"/>
          <w:sz w:val="24"/>
          <w:szCs w:val="24"/>
        </w:rPr>
        <w:t>Pardo</w:t>
      </w:r>
      <w:r w:rsidR="000B09E5">
        <w:rPr>
          <w:rFonts w:ascii="Times New Roman" w:hAnsi="Times New Roman" w:cs="Times New Roman"/>
          <w:sz w:val="24"/>
          <w:szCs w:val="24"/>
        </w:rPr>
        <w:t xml:space="preserve"> (or Moreno)</w:t>
      </w:r>
      <w:r w:rsidR="002A50ED">
        <w:rPr>
          <w:rFonts w:ascii="Times New Roman" w:hAnsi="Times New Roman" w:cs="Times New Roman"/>
          <w:sz w:val="24"/>
          <w:szCs w:val="24"/>
        </w:rPr>
        <w:t>: in Brazil, someone of mixed-race ancestry</w:t>
      </w:r>
      <w:r w:rsidR="003E2918">
        <w:rPr>
          <w:rFonts w:ascii="Times New Roman" w:hAnsi="Times New Roman" w:cs="Times New Roman"/>
          <w:sz w:val="24"/>
          <w:szCs w:val="24"/>
        </w:rPr>
        <w:t>, literally meaning “brown or “grey”</w:t>
      </w:r>
      <w:r w:rsidR="000B09E5">
        <w:rPr>
          <w:rFonts w:ascii="Times New Roman" w:hAnsi="Times New Roman" w:cs="Times New Roman"/>
          <w:sz w:val="24"/>
          <w:szCs w:val="24"/>
        </w:rPr>
        <w:t xml:space="preserve">; often includes indigenous populations </w:t>
      </w:r>
      <w:r w:rsidR="003E2918">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"DOI" : "10.1590/S0102-311X2004000300003", "ISBN" : "0102-311X (Print)", "ISSN" : "0102-311X", "PMID" : "15263977", "abstract" : "Race has been widely used in studies on health and healthcare inequalities, especially in the United States. Validity and reliability problems with race measurement are of concern in public health. This article reviews the literature on the concept and measurement of race and compares how the findings apply to the United States and Brazil. We discuss in detail the data quality issues related to the measurement of race and the problems raised by measuring race in multiracial societies like Brazil. We discuss how these issues and problems apply to public health and make recommendations about the measurement of race in medical records and public health research.", "author" : [ { "dropping-particle" : "", "family" : "Travassos", "given" : "Claudia", "non-dropping-particle" : "", "parse-names" : false, "suffix" : "" }, { "dropping-particle" : "", "family" : "Williams", "given" : "David R", "non-dropping-particle" : "", "parse-names" : false, "suffix" : "" } ], "container-title" : "Cadernos de saude publica / Ministerio da Saude, Fundacao Oswaldo Cruz, Escola Nacional de Saude Publica", "id" : "ITEM-1", "issue" : "3", "issued" : { "date-parts" : [ [ "2004" ] ] }, "page" : "660-678", "title" : "The concept and measurement of race and their relationship to public health: a review focused on Brazil and the United States.", "type" : "article-journal", "volume" : "20" }, "uris" : [ "http://www.mendeley.com/documents/?uuid=4ae92b63-1134-4ca0-aaca-e31bae806625" ] } ], "mendeley" : { "formattedCitation" : "&lt;sup&gt;3&lt;/sup&gt;", "plainTextFormattedCitation" : "3", "previouslyFormattedCitation" : "&lt;sup&gt;23&lt;/sup&gt;" }, "properties" : { "noteIndex" : 0 }, "schema" : "https://github.com/citation-style-language/schema/raw/master/csl-citation.json" }</w:instrText>
      </w:r>
      <w:r w:rsidR="003E2918">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3</w:t>
      </w:r>
      <w:r w:rsidR="003E2918">
        <w:rPr>
          <w:rFonts w:ascii="Times New Roman" w:hAnsi="Times New Roman" w:cs="Times New Roman"/>
          <w:sz w:val="24"/>
          <w:szCs w:val="24"/>
        </w:rPr>
        <w:fldChar w:fldCharType="end"/>
      </w:r>
      <w:r w:rsidR="003E2918" w:rsidRPr="006C28EB">
        <w:rPr>
          <w:rFonts w:ascii="Times New Roman" w:hAnsi="Times New Roman" w:cs="Times New Roman"/>
          <w:sz w:val="24"/>
          <w:szCs w:val="24"/>
        </w:rPr>
        <w:t xml:space="preserve"> </w:t>
      </w:r>
    </w:p>
    <w:p w:rsidR="00D72058" w:rsidRPr="003E2918" w:rsidRDefault="006C28EB">
      <w:pPr>
        <w:rPr>
          <w:rFonts w:ascii="Times New Roman" w:hAnsi="Times New Roman" w:cs="Times New Roman"/>
          <w:sz w:val="24"/>
          <w:szCs w:val="24"/>
        </w:rPr>
      </w:pPr>
      <w:r w:rsidRPr="006C28EB">
        <w:rPr>
          <w:rFonts w:ascii="Times New Roman" w:hAnsi="Times New Roman" w:cs="Times New Roman"/>
          <w:sz w:val="24"/>
          <w:szCs w:val="24"/>
          <w:vertAlign w:val="superscript"/>
        </w:rPr>
        <w:t xml:space="preserve">B </w:t>
      </w:r>
      <w:r w:rsidR="00D72058" w:rsidRPr="006C28EB">
        <w:rPr>
          <w:rFonts w:ascii="Times New Roman" w:hAnsi="Times New Roman" w:cs="Times New Roman"/>
          <w:sz w:val="24"/>
          <w:szCs w:val="24"/>
        </w:rPr>
        <w:t>O</w:t>
      </w:r>
      <w:r w:rsidR="003E2918">
        <w:rPr>
          <w:rFonts w:ascii="Times New Roman" w:hAnsi="Times New Roman" w:cs="Times New Roman"/>
          <w:sz w:val="24"/>
          <w:szCs w:val="24"/>
        </w:rPr>
        <w:t>verweight</w:t>
      </w:r>
      <w:r w:rsidR="002A50ED">
        <w:rPr>
          <w:rFonts w:ascii="Times New Roman" w:hAnsi="Times New Roman" w:cs="Times New Roman"/>
          <w:sz w:val="24"/>
          <w:szCs w:val="24"/>
        </w:rPr>
        <w:t xml:space="preserve">: in adults, BMI </w:t>
      </w:r>
      <w:r w:rsidR="003E2918">
        <w:rPr>
          <w:rFonts w:ascii="Times New Roman" w:hAnsi="Times New Roman" w:cs="Times New Roman"/>
          <w:sz w:val="24"/>
          <w:szCs w:val="24"/>
        </w:rPr>
        <w:t xml:space="preserve">25-29.9 </w:t>
      </w:r>
      <w:r w:rsidR="002A50ED">
        <w:rPr>
          <w:rFonts w:ascii="Times New Roman" w:hAnsi="Times New Roman" w:cs="Times New Roman"/>
          <w:sz w:val="24"/>
          <w:szCs w:val="24"/>
        </w:rPr>
        <w:t>kg/m</w:t>
      </w:r>
      <w:r w:rsidR="002A50ED" w:rsidRPr="002A50ED">
        <w:rPr>
          <w:rFonts w:ascii="Times New Roman" w:hAnsi="Times New Roman" w:cs="Times New Roman"/>
          <w:sz w:val="24"/>
          <w:szCs w:val="24"/>
          <w:vertAlign w:val="superscript"/>
        </w:rPr>
        <w:t>2</w:t>
      </w:r>
      <w:r w:rsidR="003E2918">
        <w:rPr>
          <w:rFonts w:ascii="Times New Roman" w:hAnsi="Times New Roman" w:cs="Times New Roman"/>
          <w:sz w:val="24"/>
          <w:szCs w:val="24"/>
        </w:rPr>
        <w:t>; in children, weight-for age &gt; +2 SD</w:t>
      </w:r>
      <w:r w:rsidR="003E2918">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"id" : "ITEM-1", "issued" : { "date-parts" : [ [ "2000" ] ] }, "publisher-place" : "Rome, Italy", "title" : "FAO - Nutrition Country Profiles: Brazil", "type" : "report" }, "uris" : [ "http://www.mendeley.com/documents/?uuid=2d681cd3-8702-464d-8001-33ad7afa6881" ] } ], "mendeley" : { "formattedCitation" : "&lt;sup&gt;10&lt;/sup&gt;", "plainTextFormattedCitation" : "10", "previouslyFormattedCitation" : "&lt;sup&gt;9&lt;/sup&gt;" }, "properties" : { "noteIndex" : 0 }, "schema" : "https://github.com/citation-style-language/schema/raw/master/csl-citation.json" }</w:instrText>
      </w:r>
      <w:r w:rsidR="003E2918">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10</w:t>
      </w:r>
      <w:r w:rsidR="003E2918">
        <w:rPr>
          <w:rFonts w:ascii="Times New Roman" w:hAnsi="Times New Roman" w:cs="Times New Roman"/>
          <w:sz w:val="24"/>
          <w:szCs w:val="24"/>
        </w:rPr>
        <w:fldChar w:fldCharType="end"/>
      </w:r>
    </w:p>
    <w:p w:rsidR="003E2918" w:rsidRPr="003E2918" w:rsidRDefault="003E2918">
      <w:pPr>
        <w:rPr>
          <w:rFonts w:ascii="Times New Roman" w:hAnsi="Times New Roman" w:cs="Times New Roman"/>
          <w:sz w:val="24"/>
          <w:szCs w:val="24"/>
        </w:rPr>
      </w:pPr>
      <w:r>
        <w:rPr>
          <w:rFonts w:ascii="Times New Roman" w:hAnsi="Times New Roman" w:cs="Times New Roman"/>
          <w:sz w:val="24"/>
          <w:szCs w:val="24"/>
          <w:vertAlign w:val="superscript"/>
        </w:rPr>
        <w:t>C</w:t>
      </w:r>
      <w:r w:rsidRPr="006C28EB">
        <w:rPr>
          <w:rFonts w:ascii="Times New Roman" w:hAnsi="Times New Roman" w:cs="Times New Roman"/>
          <w:sz w:val="24"/>
          <w:szCs w:val="24"/>
          <w:vertAlign w:val="superscript"/>
        </w:rPr>
        <w:t xml:space="preserve"> </w:t>
      </w:r>
      <w:r w:rsidRPr="006C28EB">
        <w:rPr>
          <w:rFonts w:ascii="Times New Roman" w:hAnsi="Times New Roman" w:cs="Times New Roman"/>
          <w:sz w:val="24"/>
          <w:szCs w:val="24"/>
        </w:rPr>
        <w:t>Obesity</w:t>
      </w:r>
      <w:r>
        <w:rPr>
          <w:rFonts w:ascii="Times New Roman" w:hAnsi="Times New Roman" w:cs="Times New Roman"/>
          <w:sz w:val="24"/>
          <w:szCs w:val="24"/>
        </w:rPr>
        <w:t>: in adults, BMI &gt; 30 kg/m</w:t>
      </w:r>
      <w:r w:rsidRPr="002A50ED">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"id" : "ITEM-1", "issued" : { "date-parts" : [ [ "2000" ] ] }, "publisher-place" : "Rome, Italy", "title" : "FAO - Nutrition Country Profiles: Brazil", "type" : "report" }, "uris" : [ "http://www.mendeley.com/documents/?uuid=2d681cd3-8702-464d-8001-33ad7afa6881" ] } ], "mendeley" : { "formattedCitation" : "&lt;sup&gt;10&lt;/sup&gt;", "plainTextFormattedCitation" : "10", "previouslyFormattedCitation" : "&lt;sup&gt;9&lt;/sup&gt;" }, "properties" : { "noteIndex" : 0 }, "schema" : "https://github.com/citation-style-language/schema/raw/master/csl-citation.json" }</w:instrText>
      </w:r>
      <w:r>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10</w:t>
      </w:r>
      <w:r>
        <w:rPr>
          <w:rFonts w:ascii="Times New Roman" w:hAnsi="Times New Roman" w:cs="Times New Roman"/>
          <w:sz w:val="24"/>
          <w:szCs w:val="24"/>
        </w:rPr>
        <w:fldChar w:fldCharType="end"/>
      </w:r>
    </w:p>
    <w:p w:rsidR="00D72058" w:rsidRPr="006C28EB" w:rsidRDefault="003E2918">
      <w:pPr>
        <w:rPr>
          <w:rFonts w:ascii="Times New Roman" w:hAnsi="Times New Roman" w:cs="Times New Roman"/>
          <w:sz w:val="24"/>
          <w:szCs w:val="24"/>
        </w:rPr>
      </w:pPr>
      <w:r>
        <w:rPr>
          <w:rFonts w:ascii="Times New Roman" w:hAnsi="Times New Roman" w:cs="Times New Roman"/>
          <w:sz w:val="24"/>
          <w:szCs w:val="24"/>
          <w:vertAlign w:val="superscript"/>
        </w:rPr>
        <w:t>D</w:t>
      </w:r>
      <w:r w:rsidR="006C28EB" w:rsidRPr="006C28EB">
        <w:rPr>
          <w:rFonts w:ascii="Times New Roman" w:hAnsi="Times New Roman" w:cs="Times New Roman"/>
          <w:sz w:val="24"/>
          <w:szCs w:val="24"/>
          <w:vertAlign w:val="superscript"/>
        </w:rPr>
        <w:t xml:space="preserve"> </w:t>
      </w:r>
      <w:r w:rsidR="00D72058" w:rsidRPr="006C28EB">
        <w:rPr>
          <w:rFonts w:ascii="Times New Roman" w:hAnsi="Times New Roman" w:cs="Times New Roman"/>
          <w:sz w:val="24"/>
          <w:szCs w:val="24"/>
        </w:rPr>
        <w:t>Stunting</w:t>
      </w:r>
      <w:r>
        <w:rPr>
          <w:rFonts w:ascii="Times New Roman" w:hAnsi="Times New Roman" w:cs="Times New Roman"/>
          <w:sz w:val="24"/>
          <w:szCs w:val="24"/>
        </w:rPr>
        <w:t>: height-for-age &lt; -2 SD</w:t>
      </w:r>
      <w:r>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"id" : "ITEM-1", "issued" : { "date-parts" : [ [ "2000" ] ] }, "publisher-place" : "Rome, Italy", "title" : "FAO - Nutrition Country Profiles: Brazil", "type" : "report" }, "uris" : [ "http://www.mendeley.com/documents/?uuid=2d681cd3-8702-464d-8001-33ad7afa6881" ] } ], "mendeley" : { "formattedCitation" : "&lt;sup&gt;10&lt;/sup&gt;", "plainTextFormattedCitation" : "10", "previouslyFormattedCitation" : "&lt;sup&gt;9&lt;/sup&gt;" }, "properties" : { "noteIndex" : 0 }, "schema" : "https://github.com/citation-style-language/schema/raw/master/csl-citation.json" }</w:instrText>
      </w:r>
      <w:r>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10</w:t>
      </w:r>
      <w:r>
        <w:rPr>
          <w:rFonts w:ascii="Times New Roman" w:hAnsi="Times New Roman" w:cs="Times New Roman"/>
          <w:sz w:val="24"/>
          <w:szCs w:val="24"/>
        </w:rPr>
        <w:fldChar w:fldCharType="end"/>
      </w:r>
      <w:r>
        <w:rPr>
          <w:rFonts w:ascii="Times New Roman" w:hAnsi="Times New Roman" w:cs="Times New Roman"/>
          <w:sz w:val="24"/>
          <w:szCs w:val="24"/>
        </w:rPr>
        <w:t>, in children</w:t>
      </w:r>
    </w:p>
    <w:p w:rsidR="00D72058" w:rsidRPr="006C28EB" w:rsidRDefault="003E2918">
      <w:pPr>
        <w:rPr>
          <w:rFonts w:ascii="Times New Roman" w:hAnsi="Times New Roman" w:cs="Times New Roman"/>
          <w:sz w:val="24"/>
          <w:szCs w:val="24"/>
        </w:rPr>
      </w:pPr>
      <w:r>
        <w:rPr>
          <w:rFonts w:ascii="Times New Roman" w:hAnsi="Times New Roman" w:cs="Times New Roman"/>
          <w:sz w:val="24"/>
          <w:szCs w:val="24"/>
          <w:vertAlign w:val="superscript"/>
        </w:rPr>
        <w:t>E</w:t>
      </w:r>
      <w:r w:rsidR="006C28EB" w:rsidRPr="006C28EB">
        <w:rPr>
          <w:rFonts w:ascii="Times New Roman" w:hAnsi="Times New Roman" w:cs="Times New Roman"/>
          <w:sz w:val="24"/>
          <w:szCs w:val="24"/>
          <w:vertAlign w:val="superscript"/>
        </w:rPr>
        <w:t xml:space="preserve"> </w:t>
      </w:r>
      <w:r w:rsidR="00D72058" w:rsidRPr="006C28EB">
        <w:rPr>
          <w:rFonts w:ascii="Times New Roman" w:hAnsi="Times New Roman" w:cs="Times New Roman"/>
          <w:sz w:val="24"/>
          <w:szCs w:val="24"/>
        </w:rPr>
        <w:t>Underweight</w:t>
      </w:r>
      <w:r w:rsidR="002A50ED">
        <w:rPr>
          <w:rFonts w:ascii="Times New Roman" w:hAnsi="Times New Roman" w:cs="Times New Roman"/>
          <w:sz w:val="24"/>
          <w:szCs w:val="24"/>
        </w:rPr>
        <w:t>:</w:t>
      </w:r>
      <w:r w:rsidR="00680803">
        <w:rPr>
          <w:rFonts w:ascii="Times New Roman" w:hAnsi="Times New Roman" w:cs="Times New Roman"/>
          <w:sz w:val="24"/>
          <w:szCs w:val="24"/>
        </w:rPr>
        <w:t xml:space="preserve"> in adults,</w:t>
      </w:r>
      <w:r w:rsidR="002A50ED">
        <w:rPr>
          <w:rFonts w:ascii="Times New Roman" w:hAnsi="Times New Roman" w:cs="Times New Roman"/>
          <w:sz w:val="24"/>
          <w:szCs w:val="24"/>
        </w:rPr>
        <w:t xml:space="preserve"> </w:t>
      </w:r>
      <w:r w:rsidR="00680803">
        <w:rPr>
          <w:rFonts w:ascii="Times New Roman" w:hAnsi="Times New Roman" w:cs="Times New Roman"/>
          <w:sz w:val="24"/>
          <w:szCs w:val="24"/>
        </w:rPr>
        <w:t>BMI &lt; 18.5</w:t>
      </w:r>
      <w:r>
        <w:rPr>
          <w:rFonts w:ascii="Times New Roman" w:hAnsi="Times New Roman" w:cs="Times New Roman"/>
          <w:sz w:val="24"/>
          <w:szCs w:val="24"/>
        </w:rPr>
        <w:t>; in children, weight-for-age &lt; -2 SD</w:t>
      </w:r>
      <w:r>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"id" : "ITEM-1", "issued" : { "date-parts" : [ [ "2000" ] ] }, "publisher-place" : "Rome, Italy", "title" : "FAO - Nutrition Country Profiles: Brazil", "type" : "report" }, "uris" : [ "http://www.mendeley.com/documents/?uuid=2d681cd3-8702-464d-8001-33ad7afa6881" ] } ], "mendeley" : { "formattedCitation" : "&lt;sup&gt;10&lt;/sup&gt;", "plainTextFormattedCitation" : "10", "previouslyFormattedCitation" : "&lt;sup&gt;9&lt;/sup&gt;" }, "properties" : { "noteIndex" : 0 }, "schema" : "https://github.com/citation-style-language/schema/raw/master/csl-citation.json" }</w:instrText>
      </w:r>
      <w:r>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10</w:t>
      </w:r>
      <w:r>
        <w:rPr>
          <w:rFonts w:ascii="Times New Roman" w:hAnsi="Times New Roman" w:cs="Times New Roman"/>
          <w:sz w:val="24"/>
          <w:szCs w:val="24"/>
        </w:rPr>
        <w:fldChar w:fldCharType="end"/>
      </w:r>
    </w:p>
    <w:p w:rsidR="00D72058" w:rsidRPr="006C28EB" w:rsidRDefault="003E2918">
      <w:pPr>
        <w:rPr>
          <w:rFonts w:ascii="Times New Roman" w:hAnsi="Times New Roman" w:cs="Times New Roman"/>
          <w:sz w:val="24"/>
          <w:szCs w:val="24"/>
        </w:rPr>
      </w:pPr>
      <w:r>
        <w:rPr>
          <w:rFonts w:ascii="Times New Roman" w:hAnsi="Times New Roman" w:cs="Times New Roman"/>
          <w:sz w:val="24"/>
          <w:szCs w:val="24"/>
          <w:vertAlign w:val="superscript"/>
        </w:rPr>
        <w:t>F</w:t>
      </w:r>
      <w:r w:rsidR="006C28EB" w:rsidRPr="006C28EB">
        <w:rPr>
          <w:rFonts w:ascii="Times New Roman" w:hAnsi="Times New Roman" w:cs="Times New Roman"/>
          <w:sz w:val="24"/>
          <w:szCs w:val="24"/>
          <w:vertAlign w:val="superscript"/>
        </w:rPr>
        <w:t xml:space="preserve"> </w:t>
      </w:r>
      <w:r w:rsidR="00F4341C" w:rsidRPr="006C28EB">
        <w:rPr>
          <w:rFonts w:ascii="Times New Roman" w:hAnsi="Times New Roman" w:cs="Times New Roman"/>
          <w:sz w:val="24"/>
          <w:szCs w:val="24"/>
        </w:rPr>
        <w:t>Wasting</w:t>
      </w:r>
      <w:r>
        <w:rPr>
          <w:rFonts w:ascii="Times New Roman" w:hAnsi="Times New Roman" w:cs="Times New Roman"/>
          <w:sz w:val="24"/>
          <w:szCs w:val="24"/>
        </w:rPr>
        <w:t>: weight-for-age &lt; -2 SD</w:t>
      </w:r>
      <w:r>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"id" : "ITEM-1", "issued" : { "date-parts" : [ [ "2000" ] ] }, "publisher-place" : "Rome, Italy", "title" : "FAO - Nutrition Country Profiles: Brazil", "type" : "report" }, "uris" : [ "http://www.mendeley.com/documents/?uuid=2d681cd3-8702-464d-8001-33ad7afa6881" ] } ], "mendeley" : { "formattedCitation" : "&lt;sup&gt;10&lt;/sup&gt;", "plainTextFormattedCitation" : "10", "previouslyFormattedCitation" : "&lt;sup&gt;9&lt;/sup&gt;" }, "properties" : { "noteIndex" : 0 }, "schema" : "https://github.com/citation-style-language/schema/raw/master/csl-citation.json" }</w:instrText>
      </w:r>
      <w:r>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10</w:t>
      </w:r>
      <w:r>
        <w:rPr>
          <w:rFonts w:ascii="Times New Roman" w:hAnsi="Times New Roman" w:cs="Times New Roman"/>
          <w:sz w:val="24"/>
          <w:szCs w:val="24"/>
        </w:rPr>
        <w:fldChar w:fldCharType="end"/>
      </w:r>
      <w:r>
        <w:rPr>
          <w:rFonts w:ascii="Times New Roman" w:hAnsi="Times New Roman" w:cs="Times New Roman"/>
          <w:sz w:val="24"/>
          <w:szCs w:val="24"/>
        </w:rPr>
        <w:t>, in children</w:t>
      </w:r>
      <w:r>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"id" : "ITEM-1", "issued" : { "date-parts" : [ [ "2000" ] ] }, "publisher-place" : "Rome, Italy", "title" : "FAO - Nutrition Country Profiles: Brazil", "type" : "report" }, "uris" : [ "http://www.mendeley.com/documents/?uuid=2d681cd3-8702-464d-8001-33ad7afa6881" ] } ], "mendeley" : { "formattedCitation" : "&lt;sup&gt;10&lt;/sup&gt;", "plainTextFormattedCitation" : "10", "previouslyFormattedCitation" : "&lt;sup&gt;9&lt;/sup&gt;" }, "properties" : { "noteIndex" : 0 }, "schema" : "https://github.com/citation-style-language/schema/raw/master/csl-citation.json" }</w:instrText>
      </w:r>
      <w:r>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10</w:t>
      </w:r>
      <w:r>
        <w:rPr>
          <w:rFonts w:ascii="Times New Roman" w:hAnsi="Times New Roman" w:cs="Times New Roman"/>
          <w:sz w:val="24"/>
          <w:szCs w:val="24"/>
        </w:rPr>
        <w:fldChar w:fldCharType="end"/>
      </w:r>
    </w:p>
    <w:p w:rsidR="00F4341C" w:rsidRDefault="003E2918" w:rsidP="007E679C">
      <w:pPr>
        <w:rPr>
          <w:rFonts w:ascii="Times New Roman" w:hAnsi="Times New Roman" w:cs="Times New Roman"/>
          <w:sz w:val="24"/>
          <w:szCs w:val="24"/>
        </w:rPr>
      </w:pPr>
      <w:r>
        <w:rPr>
          <w:rFonts w:ascii="Times New Roman" w:hAnsi="Times New Roman" w:cs="Times New Roman"/>
          <w:sz w:val="24"/>
          <w:szCs w:val="24"/>
          <w:vertAlign w:val="superscript"/>
        </w:rPr>
        <w:t>G</w:t>
      </w:r>
      <w:r w:rsidR="006C28EB" w:rsidRPr="006C28EB">
        <w:rPr>
          <w:rFonts w:ascii="Times New Roman" w:hAnsi="Times New Roman" w:cs="Times New Roman"/>
          <w:sz w:val="24"/>
          <w:szCs w:val="24"/>
          <w:vertAlign w:val="superscript"/>
        </w:rPr>
        <w:t xml:space="preserve"> </w:t>
      </w:r>
      <w:r w:rsidR="006C28EB" w:rsidRPr="006C28EB">
        <w:rPr>
          <w:rFonts w:ascii="Times New Roman" w:hAnsi="Times New Roman" w:cs="Times New Roman"/>
          <w:sz w:val="24"/>
          <w:szCs w:val="24"/>
        </w:rPr>
        <w:t>Vitamin A</w:t>
      </w:r>
      <w:r w:rsidR="007E679C" w:rsidRPr="006C28EB">
        <w:rPr>
          <w:rFonts w:ascii="Times New Roman" w:hAnsi="Times New Roman" w:cs="Times New Roman"/>
          <w:sz w:val="24"/>
          <w:szCs w:val="24"/>
        </w:rPr>
        <w:t xml:space="preserve"> deficiency</w:t>
      </w:r>
      <w:r w:rsidR="006C28EB" w:rsidRPr="006C28EB">
        <w:rPr>
          <w:rFonts w:ascii="Times New Roman" w:hAnsi="Times New Roman" w:cs="Times New Roman"/>
          <w:sz w:val="24"/>
          <w:szCs w:val="24"/>
        </w:rPr>
        <w:t>:</w:t>
      </w:r>
      <w:r w:rsidR="007E679C" w:rsidRPr="006C28EB">
        <w:rPr>
          <w:rFonts w:ascii="Times New Roman" w:hAnsi="Times New Roman" w:cs="Times New Roman"/>
          <w:sz w:val="24"/>
          <w:szCs w:val="24"/>
        </w:rPr>
        <w:t xml:space="preserve"> retinol levels below 0.70 μg/dL.</w:t>
      </w:r>
      <w:r w:rsidR="007E679C" w:rsidRPr="006C28EB">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"author" : [ { "dropping-particle" : "", "family" : "Konstantyner T, Warkentin S", "given" : "Taddei JA.", "non-dropping-particle" : "", "parse-names" : false, "suffix" : "" } ], "container-title" : "Food Nutr Bull.", "id" : "ITEM-1", "issue" : "4", "issued" : { "date-parts" : [ [ "2014" ] ] }, "page" : "422-430", "title" : "Prevalence and determinants of vitamin A deficiency among Brazilian children under 2 years of age from the 2006 National Demographic Health Survey.", "type" : "article-journal", "volume" : "35" }, "uris" : [ "http://www.mendeley.com/documents/?uuid=5d253255-22d9-43d0-9005-026f08976a73" ] } ], "mendeley" : { "formattedCitation" : "&lt;sup&gt;20&lt;/sup&gt;", "plainTextFormattedCitation" : "20", "previouslyFormattedCitation" : "&lt;sup&gt;19&lt;/sup&gt;" }, "properties" : { "noteIndex" : 0 }, "schema" : "https://github.com/citation-style-language/schema/raw/master/csl-citation.json" }</w:instrText>
      </w:r>
      <w:r w:rsidR="007E679C" w:rsidRPr="006C28EB">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20</w:t>
      </w:r>
      <w:r w:rsidR="007E679C" w:rsidRPr="006C28EB">
        <w:rPr>
          <w:rFonts w:ascii="Times New Roman" w:hAnsi="Times New Roman" w:cs="Times New Roman"/>
          <w:sz w:val="24"/>
          <w:szCs w:val="24"/>
        </w:rPr>
        <w:fldChar w:fldCharType="end"/>
      </w:r>
    </w:p>
    <w:p w:rsidR="00101A78" w:rsidRDefault="00101A78" w:rsidP="007E679C">
      <w:pPr>
        <w:rPr>
          <w:rFonts w:ascii="Times New Roman" w:hAnsi="Times New Roman" w:cs="Times New Roman"/>
          <w:b/>
          <w:sz w:val="24"/>
          <w:szCs w:val="24"/>
        </w:rPr>
      </w:pPr>
      <w:r w:rsidRPr="00101A78">
        <w:rPr>
          <w:rFonts w:ascii="Times New Roman" w:hAnsi="Times New Roman" w:cs="Times New Roman"/>
          <w:b/>
          <w:sz w:val="24"/>
          <w:szCs w:val="24"/>
        </w:rPr>
        <w:t>Tables &amp; Figures</w:t>
      </w:r>
    </w:p>
    <w:p w:rsidR="00AA41B6" w:rsidRDefault="00AA41B6" w:rsidP="007E679C">
      <w:pPr>
        <w:rPr>
          <w:rFonts w:ascii="Times New Roman" w:hAnsi="Times New Roman" w:cs="Times New Roman"/>
          <w:sz w:val="24"/>
          <w:szCs w:val="24"/>
        </w:rPr>
      </w:pPr>
      <w:r>
        <w:rPr>
          <w:rFonts w:ascii="Times New Roman" w:hAnsi="Times New Roman" w:cs="Times New Roman"/>
          <w:sz w:val="24"/>
          <w:szCs w:val="24"/>
        </w:rPr>
        <w:t xml:space="preserve">Table 1.0 </w:t>
      </w:r>
    </w:p>
    <w:p w:rsidR="008D44A4" w:rsidRDefault="00AA41B6" w:rsidP="007E679C">
      <w:pPr>
        <w:rPr>
          <w:rFonts w:ascii="Times New Roman" w:hAnsi="Times New Roman" w:cs="Times New Roman"/>
          <w:sz w:val="24"/>
          <w:szCs w:val="24"/>
        </w:rPr>
      </w:pPr>
      <w:r>
        <w:rPr>
          <w:rFonts w:ascii="Times New Roman" w:hAnsi="Times New Roman" w:cs="Times New Roman"/>
          <w:sz w:val="24"/>
          <w:szCs w:val="24"/>
        </w:rPr>
        <w:t xml:space="preserve">Prevalence of Underweight, Overweight, and Obesity in Brazil </w:t>
      </w:r>
      <w:r w:rsidR="003E2918">
        <w:rPr>
          <w:rFonts w:ascii="Times New Roman" w:hAnsi="Times New Roman" w:cs="Times New Roman"/>
          <w:sz w:val="24"/>
          <w:szCs w:val="24"/>
        </w:rPr>
        <w:t>in adult women</w:t>
      </w:r>
    </w:p>
    <w:tbl>
      <w:tblPr>
        <w:tblStyle w:val="TableGrid"/>
        <w:tblW w:w="0" w:type="auto"/>
        <w:tblLook w:val="04A0" w:firstRow="1" w:lastRow="0" w:firstColumn="1" w:lastColumn="0" w:noHBand="0" w:noVBand="1"/>
      </w:tblPr>
      <w:tblGrid>
        <w:gridCol w:w="1203"/>
        <w:gridCol w:w="1527"/>
        <w:gridCol w:w="954"/>
        <w:gridCol w:w="887"/>
        <w:gridCol w:w="650"/>
        <w:gridCol w:w="1524"/>
        <w:gridCol w:w="1431"/>
        <w:gridCol w:w="1174"/>
      </w:tblGrid>
      <w:tr w:rsidR="008D44A4" w:rsidTr="003E2918">
        <w:trPr>
          <w:trHeight w:val="598"/>
        </w:trPr>
        <w:tc>
          <w:tcPr>
            <w:tcW w:w="1203" w:type="dxa"/>
            <w:vMerge w:val="restart"/>
          </w:tcPr>
          <w:p w:rsidR="008D44A4" w:rsidRDefault="008D44A4" w:rsidP="000B09E5">
            <w:pPr>
              <w:jc w:val="center"/>
            </w:pPr>
            <w:r>
              <w:t>Survey</w:t>
            </w:r>
          </w:p>
        </w:tc>
        <w:tc>
          <w:tcPr>
            <w:tcW w:w="1527" w:type="dxa"/>
            <w:vMerge w:val="restart"/>
          </w:tcPr>
          <w:p w:rsidR="008D44A4" w:rsidRDefault="008D44A4" w:rsidP="000B09E5">
            <w:pPr>
              <w:jc w:val="center"/>
            </w:pPr>
            <w:r>
              <w:t>Region</w:t>
            </w:r>
          </w:p>
        </w:tc>
        <w:tc>
          <w:tcPr>
            <w:tcW w:w="954" w:type="dxa"/>
            <w:vMerge w:val="restart"/>
          </w:tcPr>
          <w:p w:rsidR="008D44A4" w:rsidRDefault="008D44A4" w:rsidP="000B09E5">
            <w:pPr>
              <w:jc w:val="center"/>
            </w:pPr>
            <w:r>
              <w:t>Sample Size</w:t>
            </w:r>
          </w:p>
        </w:tc>
        <w:tc>
          <w:tcPr>
            <w:tcW w:w="887" w:type="dxa"/>
            <w:vMerge w:val="restart"/>
          </w:tcPr>
          <w:p w:rsidR="008D44A4" w:rsidRDefault="008D44A4" w:rsidP="000B09E5">
            <w:pPr>
              <w:jc w:val="center"/>
            </w:pPr>
            <w:r>
              <w:t>Gender</w:t>
            </w:r>
          </w:p>
        </w:tc>
        <w:tc>
          <w:tcPr>
            <w:tcW w:w="650" w:type="dxa"/>
            <w:vMerge w:val="restart"/>
          </w:tcPr>
          <w:p w:rsidR="008D44A4" w:rsidRDefault="008D44A4" w:rsidP="000B09E5">
            <w:pPr>
              <w:jc w:val="center"/>
            </w:pPr>
            <w:r>
              <w:t>Age</w:t>
            </w:r>
          </w:p>
        </w:tc>
        <w:tc>
          <w:tcPr>
            <w:tcW w:w="1524" w:type="dxa"/>
          </w:tcPr>
          <w:p w:rsidR="008D44A4" w:rsidRDefault="008D44A4" w:rsidP="000B09E5">
            <w:pPr>
              <w:jc w:val="center"/>
            </w:pPr>
            <w:r>
              <w:t>Underweight</w:t>
            </w:r>
          </w:p>
          <w:p w:rsidR="008D44A4" w:rsidRDefault="008D44A4" w:rsidP="000B09E5">
            <w:pPr>
              <w:jc w:val="center"/>
            </w:pPr>
            <w:r>
              <w:t>%BMI</w:t>
            </w:r>
          </w:p>
        </w:tc>
        <w:tc>
          <w:tcPr>
            <w:tcW w:w="1431" w:type="dxa"/>
          </w:tcPr>
          <w:p w:rsidR="008D44A4" w:rsidRDefault="008D44A4" w:rsidP="000B09E5">
            <w:pPr>
              <w:jc w:val="center"/>
            </w:pPr>
            <w:r>
              <w:t>Overweight</w:t>
            </w:r>
          </w:p>
          <w:p w:rsidR="008D44A4" w:rsidRDefault="008D44A4" w:rsidP="000B09E5">
            <w:pPr>
              <w:jc w:val="center"/>
            </w:pPr>
            <w:r>
              <w:t>%BMI</w:t>
            </w:r>
          </w:p>
        </w:tc>
        <w:tc>
          <w:tcPr>
            <w:tcW w:w="1174" w:type="dxa"/>
          </w:tcPr>
          <w:p w:rsidR="008D44A4" w:rsidRDefault="008D44A4" w:rsidP="000B09E5">
            <w:pPr>
              <w:jc w:val="center"/>
            </w:pPr>
            <w:r>
              <w:t>Obesity</w:t>
            </w:r>
          </w:p>
          <w:p w:rsidR="008D44A4" w:rsidRDefault="008D44A4" w:rsidP="000B09E5">
            <w:pPr>
              <w:jc w:val="center"/>
            </w:pPr>
            <w:r>
              <w:t>%BMI</w:t>
            </w:r>
          </w:p>
        </w:tc>
      </w:tr>
      <w:tr w:rsidR="008D44A4" w:rsidTr="003E2918">
        <w:trPr>
          <w:trHeight w:val="468"/>
        </w:trPr>
        <w:tc>
          <w:tcPr>
            <w:tcW w:w="1203" w:type="dxa"/>
            <w:vMerge/>
          </w:tcPr>
          <w:p w:rsidR="008D44A4" w:rsidRDefault="008D44A4" w:rsidP="000B09E5"/>
        </w:tc>
        <w:tc>
          <w:tcPr>
            <w:tcW w:w="1527" w:type="dxa"/>
            <w:vMerge/>
          </w:tcPr>
          <w:p w:rsidR="008D44A4" w:rsidRDefault="008D44A4" w:rsidP="000B09E5"/>
        </w:tc>
        <w:tc>
          <w:tcPr>
            <w:tcW w:w="954" w:type="dxa"/>
            <w:vMerge/>
          </w:tcPr>
          <w:p w:rsidR="008D44A4" w:rsidRDefault="008D44A4" w:rsidP="000B09E5"/>
        </w:tc>
        <w:tc>
          <w:tcPr>
            <w:tcW w:w="887" w:type="dxa"/>
            <w:vMerge/>
          </w:tcPr>
          <w:p w:rsidR="008D44A4" w:rsidRDefault="008D44A4" w:rsidP="000B09E5"/>
        </w:tc>
        <w:tc>
          <w:tcPr>
            <w:tcW w:w="650" w:type="dxa"/>
            <w:vMerge/>
          </w:tcPr>
          <w:p w:rsidR="008D44A4" w:rsidRDefault="008D44A4" w:rsidP="000B09E5"/>
        </w:tc>
        <w:tc>
          <w:tcPr>
            <w:tcW w:w="1524" w:type="dxa"/>
          </w:tcPr>
          <w:p w:rsidR="008D44A4" w:rsidRDefault="008D44A4" w:rsidP="000B09E5">
            <w:pPr>
              <w:jc w:val="center"/>
            </w:pPr>
            <w:r>
              <w:t>&lt;18.5</w:t>
            </w:r>
          </w:p>
        </w:tc>
        <w:tc>
          <w:tcPr>
            <w:tcW w:w="1431" w:type="dxa"/>
          </w:tcPr>
          <w:p w:rsidR="008D44A4" w:rsidRDefault="008D44A4" w:rsidP="000B09E5">
            <w:pPr>
              <w:jc w:val="center"/>
            </w:pPr>
            <w:r>
              <w:t>25-29.9</w:t>
            </w:r>
          </w:p>
        </w:tc>
        <w:tc>
          <w:tcPr>
            <w:tcW w:w="1174" w:type="dxa"/>
          </w:tcPr>
          <w:p w:rsidR="008D44A4" w:rsidRDefault="008D44A4" w:rsidP="000B09E5">
            <w:pPr>
              <w:jc w:val="center"/>
            </w:pPr>
            <w:r>
              <w:t>&gt;30</w:t>
            </w:r>
          </w:p>
        </w:tc>
      </w:tr>
      <w:tr w:rsidR="008D44A4" w:rsidTr="00FB50E6">
        <w:tc>
          <w:tcPr>
            <w:tcW w:w="1203" w:type="dxa"/>
          </w:tcPr>
          <w:p w:rsidR="008D44A4" w:rsidRDefault="008D44A4" w:rsidP="000B09E5">
            <w:r>
              <w:t>BEMFAM 1997</w:t>
            </w:r>
          </w:p>
        </w:tc>
        <w:tc>
          <w:tcPr>
            <w:tcW w:w="1527" w:type="dxa"/>
          </w:tcPr>
          <w:p w:rsidR="008D44A4" w:rsidRDefault="008D44A4" w:rsidP="000B09E5">
            <w:r>
              <w:t>National</w:t>
            </w:r>
          </w:p>
        </w:tc>
        <w:tc>
          <w:tcPr>
            <w:tcW w:w="954" w:type="dxa"/>
          </w:tcPr>
          <w:p w:rsidR="008D44A4" w:rsidRDefault="008D44A4" w:rsidP="000B09E5">
            <w:r>
              <w:t>2951</w:t>
            </w:r>
          </w:p>
        </w:tc>
        <w:tc>
          <w:tcPr>
            <w:tcW w:w="887" w:type="dxa"/>
          </w:tcPr>
          <w:p w:rsidR="008D44A4" w:rsidRDefault="008D44A4" w:rsidP="000B09E5">
            <w:r>
              <w:t>F</w:t>
            </w:r>
          </w:p>
        </w:tc>
        <w:tc>
          <w:tcPr>
            <w:tcW w:w="650" w:type="dxa"/>
          </w:tcPr>
          <w:p w:rsidR="008D44A4" w:rsidRDefault="008D44A4" w:rsidP="000B09E5">
            <w:r>
              <w:t>15-49</w:t>
            </w:r>
          </w:p>
        </w:tc>
        <w:tc>
          <w:tcPr>
            <w:tcW w:w="1524" w:type="dxa"/>
          </w:tcPr>
          <w:p w:rsidR="008D44A4" w:rsidRDefault="008D44A4" w:rsidP="000B09E5">
            <w:pPr>
              <w:jc w:val="center"/>
            </w:pPr>
            <w:r>
              <w:t>6.3%</w:t>
            </w:r>
          </w:p>
        </w:tc>
        <w:tc>
          <w:tcPr>
            <w:tcW w:w="1431" w:type="dxa"/>
            <w:shd w:val="clear" w:color="auto" w:fill="BFBFBF" w:themeFill="background1" w:themeFillShade="BF"/>
          </w:tcPr>
          <w:p w:rsidR="008D44A4" w:rsidRDefault="008D44A4" w:rsidP="000B09E5">
            <w:pPr>
              <w:jc w:val="center"/>
            </w:pPr>
          </w:p>
        </w:tc>
        <w:tc>
          <w:tcPr>
            <w:tcW w:w="1174" w:type="dxa"/>
            <w:shd w:val="clear" w:color="auto" w:fill="BFBFBF" w:themeFill="background1" w:themeFillShade="BF"/>
          </w:tcPr>
          <w:p w:rsidR="008D44A4" w:rsidRDefault="008D44A4" w:rsidP="000B09E5">
            <w:pPr>
              <w:jc w:val="center"/>
            </w:pPr>
          </w:p>
        </w:tc>
      </w:tr>
      <w:tr w:rsidR="008D44A4" w:rsidTr="003E2918">
        <w:tc>
          <w:tcPr>
            <w:tcW w:w="1203" w:type="dxa"/>
          </w:tcPr>
          <w:p w:rsidR="008D44A4" w:rsidRDefault="008D44A4" w:rsidP="000B09E5">
            <w:r>
              <w:t>DHS 1996</w:t>
            </w:r>
          </w:p>
        </w:tc>
        <w:tc>
          <w:tcPr>
            <w:tcW w:w="1527" w:type="dxa"/>
          </w:tcPr>
          <w:p w:rsidR="008D44A4" w:rsidRDefault="008D44A4" w:rsidP="000B09E5">
            <w:r>
              <w:t>Urban</w:t>
            </w:r>
          </w:p>
        </w:tc>
        <w:tc>
          <w:tcPr>
            <w:tcW w:w="954" w:type="dxa"/>
          </w:tcPr>
          <w:p w:rsidR="008D44A4" w:rsidRDefault="008D44A4" w:rsidP="000B09E5">
            <w:r>
              <w:t>2325</w:t>
            </w:r>
          </w:p>
        </w:tc>
        <w:tc>
          <w:tcPr>
            <w:tcW w:w="887" w:type="dxa"/>
          </w:tcPr>
          <w:p w:rsidR="008D44A4" w:rsidRDefault="008D44A4" w:rsidP="000B09E5">
            <w:r>
              <w:t>F</w:t>
            </w:r>
          </w:p>
        </w:tc>
        <w:tc>
          <w:tcPr>
            <w:tcW w:w="650" w:type="dxa"/>
          </w:tcPr>
          <w:p w:rsidR="008D44A4" w:rsidRDefault="008D44A4" w:rsidP="000B09E5">
            <w:r>
              <w:t>15-49</w:t>
            </w:r>
          </w:p>
        </w:tc>
        <w:tc>
          <w:tcPr>
            <w:tcW w:w="1524" w:type="dxa"/>
          </w:tcPr>
          <w:p w:rsidR="008D44A4" w:rsidRDefault="008D44A4" w:rsidP="000B09E5">
            <w:pPr>
              <w:jc w:val="center"/>
            </w:pPr>
            <w:r>
              <w:t>5.8%</w:t>
            </w:r>
          </w:p>
        </w:tc>
        <w:tc>
          <w:tcPr>
            <w:tcW w:w="1431" w:type="dxa"/>
          </w:tcPr>
          <w:p w:rsidR="008D44A4" w:rsidRDefault="008D44A4" w:rsidP="000B09E5">
            <w:pPr>
              <w:jc w:val="center"/>
            </w:pPr>
            <w:r>
              <w:t>18.8%</w:t>
            </w:r>
          </w:p>
        </w:tc>
        <w:tc>
          <w:tcPr>
            <w:tcW w:w="1174" w:type="dxa"/>
          </w:tcPr>
          <w:p w:rsidR="008D44A4" w:rsidRDefault="008D44A4" w:rsidP="000B09E5">
            <w:pPr>
              <w:jc w:val="center"/>
            </w:pPr>
            <w:r>
              <w:t>6.9%</w:t>
            </w:r>
          </w:p>
        </w:tc>
      </w:tr>
      <w:tr w:rsidR="008D44A4" w:rsidTr="003E2918">
        <w:tc>
          <w:tcPr>
            <w:tcW w:w="1203" w:type="dxa"/>
            <w:tcBorders>
              <w:bottom w:val="double" w:sz="4" w:space="0" w:color="auto"/>
            </w:tcBorders>
          </w:tcPr>
          <w:p w:rsidR="008D44A4" w:rsidRDefault="008D44A4" w:rsidP="000B09E5"/>
        </w:tc>
        <w:tc>
          <w:tcPr>
            <w:tcW w:w="1527" w:type="dxa"/>
            <w:tcBorders>
              <w:bottom w:val="double" w:sz="4" w:space="0" w:color="auto"/>
            </w:tcBorders>
          </w:tcPr>
          <w:p w:rsidR="008D44A4" w:rsidRDefault="008D44A4" w:rsidP="000B09E5">
            <w:r>
              <w:t>Rural</w:t>
            </w:r>
          </w:p>
        </w:tc>
        <w:tc>
          <w:tcPr>
            <w:tcW w:w="954" w:type="dxa"/>
            <w:tcBorders>
              <w:bottom w:val="double" w:sz="4" w:space="0" w:color="auto"/>
            </w:tcBorders>
          </w:tcPr>
          <w:p w:rsidR="008D44A4" w:rsidRDefault="008D44A4" w:rsidP="000B09E5">
            <w:r>
              <w:t>626</w:t>
            </w:r>
          </w:p>
        </w:tc>
        <w:tc>
          <w:tcPr>
            <w:tcW w:w="887" w:type="dxa"/>
            <w:tcBorders>
              <w:bottom w:val="double" w:sz="4" w:space="0" w:color="auto"/>
            </w:tcBorders>
          </w:tcPr>
          <w:p w:rsidR="008D44A4" w:rsidRDefault="008D44A4" w:rsidP="000B09E5">
            <w:r>
              <w:t>F</w:t>
            </w:r>
          </w:p>
        </w:tc>
        <w:tc>
          <w:tcPr>
            <w:tcW w:w="650" w:type="dxa"/>
            <w:tcBorders>
              <w:bottom w:val="double" w:sz="4" w:space="0" w:color="auto"/>
            </w:tcBorders>
          </w:tcPr>
          <w:p w:rsidR="008D44A4" w:rsidRDefault="008D44A4" w:rsidP="000B09E5">
            <w:r>
              <w:t>15-49</w:t>
            </w:r>
          </w:p>
        </w:tc>
        <w:tc>
          <w:tcPr>
            <w:tcW w:w="1524" w:type="dxa"/>
            <w:tcBorders>
              <w:bottom w:val="double" w:sz="4" w:space="0" w:color="auto"/>
            </w:tcBorders>
          </w:tcPr>
          <w:p w:rsidR="008D44A4" w:rsidRDefault="008D44A4" w:rsidP="000B09E5">
            <w:pPr>
              <w:jc w:val="center"/>
            </w:pPr>
            <w:r>
              <w:t>7.8%</w:t>
            </w:r>
          </w:p>
        </w:tc>
        <w:tc>
          <w:tcPr>
            <w:tcW w:w="1431" w:type="dxa"/>
            <w:tcBorders>
              <w:bottom w:val="double" w:sz="4" w:space="0" w:color="auto"/>
            </w:tcBorders>
          </w:tcPr>
          <w:p w:rsidR="008D44A4" w:rsidRDefault="008D44A4" w:rsidP="000B09E5">
            <w:pPr>
              <w:jc w:val="center"/>
            </w:pPr>
            <w:r>
              <w:t>20.4%</w:t>
            </w:r>
          </w:p>
        </w:tc>
        <w:tc>
          <w:tcPr>
            <w:tcW w:w="1174" w:type="dxa"/>
            <w:tcBorders>
              <w:bottom w:val="double" w:sz="4" w:space="0" w:color="auto"/>
            </w:tcBorders>
          </w:tcPr>
          <w:p w:rsidR="008D44A4" w:rsidRDefault="008D44A4" w:rsidP="000B09E5">
            <w:pPr>
              <w:jc w:val="center"/>
            </w:pPr>
            <w:r>
              <w:t>7.9%</w:t>
            </w:r>
          </w:p>
        </w:tc>
      </w:tr>
      <w:tr w:rsidR="008D44A4" w:rsidTr="003E2918">
        <w:tc>
          <w:tcPr>
            <w:tcW w:w="1203" w:type="dxa"/>
            <w:tcBorders>
              <w:top w:val="double" w:sz="4" w:space="0" w:color="auto"/>
            </w:tcBorders>
          </w:tcPr>
          <w:p w:rsidR="008D44A4" w:rsidRDefault="008D44A4" w:rsidP="000B09E5"/>
        </w:tc>
        <w:tc>
          <w:tcPr>
            <w:tcW w:w="1527" w:type="dxa"/>
            <w:tcBorders>
              <w:top w:val="double" w:sz="4" w:space="0" w:color="auto"/>
            </w:tcBorders>
          </w:tcPr>
          <w:p w:rsidR="008D44A4" w:rsidRDefault="008D44A4" w:rsidP="000B09E5">
            <w:r>
              <w:t>Northeast</w:t>
            </w:r>
          </w:p>
        </w:tc>
        <w:tc>
          <w:tcPr>
            <w:tcW w:w="954" w:type="dxa"/>
            <w:tcBorders>
              <w:top w:val="double" w:sz="4" w:space="0" w:color="auto"/>
            </w:tcBorders>
          </w:tcPr>
          <w:p w:rsidR="008D44A4" w:rsidRDefault="008D44A4" w:rsidP="000B09E5">
            <w:r>
              <w:t>927</w:t>
            </w:r>
          </w:p>
        </w:tc>
        <w:tc>
          <w:tcPr>
            <w:tcW w:w="887" w:type="dxa"/>
            <w:tcBorders>
              <w:top w:val="double" w:sz="4" w:space="0" w:color="auto"/>
            </w:tcBorders>
          </w:tcPr>
          <w:p w:rsidR="008D44A4" w:rsidRDefault="008D44A4" w:rsidP="000B09E5">
            <w:r>
              <w:t>F</w:t>
            </w:r>
          </w:p>
        </w:tc>
        <w:tc>
          <w:tcPr>
            <w:tcW w:w="650" w:type="dxa"/>
            <w:tcBorders>
              <w:top w:val="double" w:sz="4" w:space="0" w:color="auto"/>
            </w:tcBorders>
          </w:tcPr>
          <w:p w:rsidR="008D44A4" w:rsidRDefault="008D44A4" w:rsidP="000B09E5">
            <w:r>
              <w:t>15-49</w:t>
            </w:r>
          </w:p>
        </w:tc>
        <w:tc>
          <w:tcPr>
            <w:tcW w:w="1524" w:type="dxa"/>
            <w:tcBorders>
              <w:top w:val="double" w:sz="4" w:space="0" w:color="auto"/>
            </w:tcBorders>
          </w:tcPr>
          <w:p w:rsidR="008D44A4" w:rsidRDefault="008D44A4" w:rsidP="000B09E5">
            <w:pPr>
              <w:jc w:val="center"/>
            </w:pPr>
            <w:r>
              <w:t>7.7%</w:t>
            </w:r>
          </w:p>
        </w:tc>
        <w:tc>
          <w:tcPr>
            <w:tcW w:w="1431" w:type="dxa"/>
            <w:tcBorders>
              <w:top w:val="double" w:sz="4" w:space="0" w:color="auto"/>
            </w:tcBorders>
          </w:tcPr>
          <w:p w:rsidR="008D44A4" w:rsidRDefault="008D44A4" w:rsidP="000B09E5">
            <w:pPr>
              <w:jc w:val="center"/>
            </w:pPr>
            <w:r>
              <w:t>15.4%</w:t>
            </w:r>
          </w:p>
        </w:tc>
        <w:tc>
          <w:tcPr>
            <w:tcW w:w="1174" w:type="dxa"/>
            <w:tcBorders>
              <w:top w:val="double" w:sz="4" w:space="0" w:color="auto"/>
              <w:right w:val="single" w:sz="4" w:space="0" w:color="auto"/>
            </w:tcBorders>
          </w:tcPr>
          <w:p w:rsidR="008D44A4" w:rsidRDefault="008D44A4" w:rsidP="000B09E5">
            <w:pPr>
              <w:jc w:val="center"/>
            </w:pPr>
            <w:r>
              <w:t>4.8%</w:t>
            </w:r>
          </w:p>
        </w:tc>
      </w:tr>
      <w:tr w:rsidR="008D44A4" w:rsidTr="003E2918">
        <w:tc>
          <w:tcPr>
            <w:tcW w:w="1203" w:type="dxa"/>
          </w:tcPr>
          <w:p w:rsidR="008D44A4" w:rsidRDefault="008D44A4" w:rsidP="000B09E5"/>
        </w:tc>
        <w:tc>
          <w:tcPr>
            <w:tcW w:w="1527" w:type="dxa"/>
          </w:tcPr>
          <w:p w:rsidR="008D44A4" w:rsidRDefault="008D44A4" w:rsidP="000B09E5">
            <w:r>
              <w:t>Northeast urban</w:t>
            </w:r>
          </w:p>
        </w:tc>
        <w:tc>
          <w:tcPr>
            <w:tcW w:w="954" w:type="dxa"/>
          </w:tcPr>
          <w:p w:rsidR="008D44A4" w:rsidRDefault="008D44A4" w:rsidP="000B09E5"/>
        </w:tc>
        <w:tc>
          <w:tcPr>
            <w:tcW w:w="887" w:type="dxa"/>
          </w:tcPr>
          <w:p w:rsidR="008D44A4" w:rsidRDefault="008D44A4" w:rsidP="000B09E5">
            <w:r>
              <w:t>F</w:t>
            </w:r>
          </w:p>
        </w:tc>
        <w:tc>
          <w:tcPr>
            <w:tcW w:w="650" w:type="dxa"/>
          </w:tcPr>
          <w:p w:rsidR="008D44A4" w:rsidRDefault="008D44A4" w:rsidP="000B09E5">
            <w:r>
              <w:t>15-49</w:t>
            </w:r>
          </w:p>
        </w:tc>
        <w:tc>
          <w:tcPr>
            <w:tcW w:w="1524" w:type="dxa"/>
          </w:tcPr>
          <w:p w:rsidR="008D44A4" w:rsidRDefault="008D44A4" w:rsidP="000B09E5">
            <w:pPr>
              <w:jc w:val="center"/>
            </w:pPr>
            <w:r>
              <w:t>6.3%</w:t>
            </w:r>
          </w:p>
        </w:tc>
        <w:tc>
          <w:tcPr>
            <w:tcW w:w="1431" w:type="dxa"/>
            <w:shd w:val="clear" w:color="auto" w:fill="BFBFBF" w:themeFill="background1" w:themeFillShade="BF"/>
          </w:tcPr>
          <w:p w:rsidR="008D44A4" w:rsidRPr="003B1278" w:rsidRDefault="008D44A4" w:rsidP="000B09E5">
            <w:pPr>
              <w:jc w:val="center"/>
            </w:pPr>
          </w:p>
        </w:tc>
        <w:tc>
          <w:tcPr>
            <w:tcW w:w="1174" w:type="dxa"/>
            <w:tcBorders>
              <w:right w:val="single" w:sz="4" w:space="0" w:color="auto"/>
            </w:tcBorders>
            <w:shd w:val="clear" w:color="auto" w:fill="BFBFBF" w:themeFill="background1" w:themeFillShade="BF"/>
          </w:tcPr>
          <w:p w:rsidR="008D44A4" w:rsidRPr="003B1278" w:rsidRDefault="008D44A4" w:rsidP="000B09E5">
            <w:pPr>
              <w:jc w:val="center"/>
            </w:pPr>
          </w:p>
        </w:tc>
      </w:tr>
      <w:tr w:rsidR="008D44A4" w:rsidTr="003E2918">
        <w:tc>
          <w:tcPr>
            <w:tcW w:w="1203" w:type="dxa"/>
          </w:tcPr>
          <w:p w:rsidR="008D44A4" w:rsidRDefault="008D44A4" w:rsidP="000B09E5"/>
        </w:tc>
        <w:tc>
          <w:tcPr>
            <w:tcW w:w="1527" w:type="dxa"/>
          </w:tcPr>
          <w:p w:rsidR="008D44A4" w:rsidRDefault="008D44A4" w:rsidP="000B09E5">
            <w:r>
              <w:t>Northeast rural</w:t>
            </w:r>
          </w:p>
        </w:tc>
        <w:tc>
          <w:tcPr>
            <w:tcW w:w="954" w:type="dxa"/>
          </w:tcPr>
          <w:p w:rsidR="008D44A4" w:rsidRDefault="008D44A4" w:rsidP="000B09E5"/>
        </w:tc>
        <w:tc>
          <w:tcPr>
            <w:tcW w:w="887" w:type="dxa"/>
          </w:tcPr>
          <w:p w:rsidR="008D44A4" w:rsidRDefault="008D44A4" w:rsidP="000B09E5">
            <w:r>
              <w:t>F</w:t>
            </w:r>
          </w:p>
        </w:tc>
        <w:tc>
          <w:tcPr>
            <w:tcW w:w="650" w:type="dxa"/>
          </w:tcPr>
          <w:p w:rsidR="008D44A4" w:rsidRDefault="008D44A4" w:rsidP="000B09E5">
            <w:r>
              <w:t>15-49</w:t>
            </w:r>
          </w:p>
        </w:tc>
        <w:tc>
          <w:tcPr>
            <w:tcW w:w="1524" w:type="dxa"/>
          </w:tcPr>
          <w:p w:rsidR="008D44A4" w:rsidRDefault="008D44A4" w:rsidP="000B09E5">
            <w:pPr>
              <w:jc w:val="center"/>
            </w:pPr>
            <w:r>
              <w:t>8.8%</w:t>
            </w:r>
          </w:p>
        </w:tc>
        <w:tc>
          <w:tcPr>
            <w:tcW w:w="1431" w:type="dxa"/>
            <w:shd w:val="clear" w:color="auto" w:fill="BFBFBF" w:themeFill="background1" w:themeFillShade="BF"/>
          </w:tcPr>
          <w:p w:rsidR="008D44A4" w:rsidRPr="003B1278" w:rsidRDefault="008D44A4" w:rsidP="000B09E5">
            <w:pPr>
              <w:jc w:val="center"/>
            </w:pPr>
          </w:p>
        </w:tc>
        <w:tc>
          <w:tcPr>
            <w:tcW w:w="1174" w:type="dxa"/>
            <w:shd w:val="clear" w:color="auto" w:fill="BFBFBF" w:themeFill="background1" w:themeFillShade="BF"/>
          </w:tcPr>
          <w:p w:rsidR="008D44A4" w:rsidRPr="003B1278" w:rsidRDefault="008D44A4" w:rsidP="000B09E5">
            <w:pPr>
              <w:jc w:val="center"/>
            </w:pPr>
          </w:p>
        </w:tc>
      </w:tr>
      <w:tr w:rsidR="008D44A4" w:rsidTr="003E2918">
        <w:tc>
          <w:tcPr>
            <w:tcW w:w="1203" w:type="dxa"/>
          </w:tcPr>
          <w:p w:rsidR="008D44A4" w:rsidRDefault="008D44A4" w:rsidP="000B09E5"/>
        </w:tc>
        <w:tc>
          <w:tcPr>
            <w:tcW w:w="1527" w:type="dxa"/>
          </w:tcPr>
          <w:p w:rsidR="008D44A4" w:rsidRDefault="008D44A4" w:rsidP="000B09E5">
            <w:r>
              <w:t>Centersouth</w:t>
            </w:r>
          </w:p>
        </w:tc>
        <w:tc>
          <w:tcPr>
            <w:tcW w:w="954" w:type="dxa"/>
          </w:tcPr>
          <w:p w:rsidR="008D44A4" w:rsidRDefault="008D44A4" w:rsidP="000B09E5"/>
        </w:tc>
        <w:tc>
          <w:tcPr>
            <w:tcW w:w="887" w:type="dxa"/>
          </w:tcPr>
          <w:p w:rsidR="008D44A4" w:rsidRDefault="008D44A4" w:rsidP="000B09E5">
            <w:r>
              <w:t>F</w:t>
            </w:r>
          </w:p>
        </w:tc>
        <w:tc>
          <w:tcPr>
            <w:tcW w:w="650" w:type="dxa"/>
          </w:tcPr>
          <w:p w:rsidR="008D44A4" w:rsidRDefault="008D44A4" w:rsidP="000B09E5">
            <w:r>
              <w:t>15-49</w:t>
            </w:r>
          </w:p>
        </w:tc>
        <w:tc>
          <w:tcPr>
            <w:tcW w:w="1524" w:type="dxa"/>
          </w:tcPr>
          <w:p w:rsidR="008D44A4" w:rsidRDefault="008D44A4" w:rsidP="000B09E5">
            <w:pPr>
              <w:jc w:val="center"/>
            </w:pPr>
            <w:r>
              <w:t>5.8%</w:t>
            </w:r>
          </w:p>
        </w:tc>
        <w:tc>
          <w:tcPr>
            <w:tcW w:w="1431" w:type="dxa"/>
            <w:shd w:val="clear" w:color="auto" w:fill="BFBFBF" w:themeFill="background1" w:themeFillShade="BF"/>
          </w:tcPr>
          <w:p w:rsidR="008D44A4" w:rsidRPr="003B1278" w:rsidRDefault="008D44A4" w:rsidP="000B09E5">
            <w:pPr>
              <w:jc w:val="center"/>
            </w:pPr>
          </w:p>
        </w:tc>
        <w:tc>
          <w:tcPr>
            <w:tcW w:w="1174" w:type="dxa"/>
            <w:shd w:val="clear" w:color="auto" w:fill="BFBFBF" w:themeFill="background1" w:themeFillShade="BF"/>
          </w:tcPr>
          <w:p w:rsidR="008D44A4" w:rsidRPr="003B1278" w:rsidRDefault="008D44A4" w:rsidP="000B09E5">
            <w:pPr>
              <w:jc w:val="center"/>
            </w:pPr>
          </w:p>
        </w:tc>
      </w:tr>
      <w:tr w:rsidR="008D44A4" w:rsidTr="003E2918">
        <w:tc>
          <w:tcPr>
            <w:tcW w:w="1203" w:type="dxa"/>
          </w:tcPr>
          <w:p w:rsidR="008D44A4" w:rsidRDefault="008D44A4" w:rsidP="000B09E5"/>
        </w:tc>
        <w:tc>
          <w:tcPr>
            <w:tcW w:w="1527" w:type="dxa"/>
          </w:tcPr>
          <w:p w:rsidR="008D44A4" w:rsidRDefault="008D44A4" w:rsidP="000B09E5">
            <w:r>
              <w:t>Centersouth urban</w:t>
            </w:r>
          </w:p>
        </w:tc>
        <w:tc>
          <w:tcPr>
            <w:tcW w:w="954" w:type="dxa"/>
          </w:tcPr>
          <w:p w:rsidR="008D44A4" w:rsidRDefault="008D44A4" w:rsidP="000B09E5"/>
        </w:tc>
        <w:tc>
          <w:tcPr>
            <w:tcW w:w="887" w:type="dxa"/>
          </w:tcPr>
          <w:p w:rsidR="008D44A4" w:rsidRDefault="008D44A4" w:rsidP="000B09E5">
            <w:r>
              <w:t>F</w:t>
            </w:r>
          </w:p>
        </w:tc>
        <w:tc>
          <w:tcPr>
            <w:tcW w:w="650" w:type="dxa"/>
          </w:tcPr>
          <w:p w:rsidR="008D44A4" w:rsidRDefault="008D44A4" w:rsidP="000B09E5">
            <w:r>
              <w:t>15-49</w:t>
            </w:r>
          </w:p>
        </w:tc>
        <w:tc>
          <w:tcPr>
            <w:tcW w:w="1524" w:type="dxa"/>
          </w:tcPr>
          <w:p w:rsidR="008D44A4" w:rsidRDefault="008D44A4" w:rsidP="000B09E5">
            <w:pPr>
              <w:jc w:val="center"/>
            </w:pPr>
            <w:r>
              <w:t>5.8%</w:t>
            </w:r>
          </w:p>
        </w:tc>
        <w:tc>
          <w:tcPr>
            <w:tcW w:w="1431" w:type="dxa"/>
            <w:shd w:val="clear" w:color="auto" w:fill="BFBFBF" w:themeFill="background1" w:themeFillShade="BF"/>
          </w:tcPr>
          <w:p w:rsidR="008D44A4" w:rsidRPr="003B1278" w:rsidRDefault="008D44A4" w:rsidP="000B09E5">
            <w:pPr>
              <w:jc w:val="center"/>
            </w:pPr>
          </w:p>
        </w:tc>
        <w:tc>
          <w:tcPr>
            <w:tcW w:w="1174" w:type="dxa"/>
            <w:shd w:val="clear" w:color="auto" w:fill="BFBFBF" w:themeFill="background1" w:themeFillShade="BF"/>
          </w:tcPr>
          <w:p w:rsidR="008D44A4" w:rsidRPr="003B1278" w:rsidRDefault="008D44A4" w:rsidP="000B09E5">
            <w:pPr>
              <w:jc w:val="center"/>
            </w:pPr>
          </w:p>
        </w:tc>
      </w:tr>
      <w:tr w:rsidR="008D44A4" w:rsidTr="003E2918">
        <w:tc>
          <w:tcPr>
            <w:tcW w:w="1203" w:type="dxa"/>
          </w:tcPr>
          <w:p w:rsidR="008D44A4" w:rsidRDefault="008D44A4" w:rsidP="000B09E5"/>
        </w:tc>
        <w:tc>
          <w:tcPr>
            <w:tcW w:w="1527" w:type="dxa"/>
          </w:tcPr>
          <w:p w:rsidR="008D44A4" w:rsidRDefault="008D44A4" w:rsidP="000B09E5">
            <w:r>
              <w:t>Centersouth rural</w:t>
            </w:r>
          </w:p>
        </w:tc>
        <w:tc>
          <w:tcPr>
            <w:tcW w:w="954" w:type="dxa"/>
          </w:tcPr>
          <w:p w:rsidR="008D44A4" w:rsidRDefault="008D44A4" w:rsidP="000B09E5"/>
        </w:tc>
        <w:tc>
          <w:tcPr>
            <w:tcW w:w="887" w:type="dxa"/>
          </w:tcPr>
          <w:p w:rsidR="008D44A4" w:rsidRDefault="008D44A4" w:rsidP="000B09E5">
            <w:r>
              <w:t>F</w:t>
            </w:r>
          </w:p>
        </w:tc>
        <w:tc>
          <w:tcPr>
            <w:tcW w:w="650" w:type="dxa"/>
          </w:tcPr>
          <w:p w:rsidR="008D44A4" w:rsidRDefault="008D44A4" w:rsidP="000B09E5">
            <w:r>
              <w:t>15-49</w:t>
            </w:r>
          </w:p>
        </w:tc>
        <w:tc>
          <w:tcPr>
            <w:tcW w:w="1524" w:type="dxa"/>
          </w:tcPr>
          <w:p w:rsidR="008D44A4" w:rsidRDefault="008D44A4" w:rsidP="000B09E5">
            <w:pPr>
              <w:jc w:val="center"/>
            </w:pPr>
            <w:r>
              <w:t>6.1%</w:t>
            </w:r>
          </w:p>
        </w:tc>
        <w:tc>
          <w:tcPr>
            <w:tcW w:w="1431" w:type="dxa"/>
            <w:shd w:val="clear" w:color="auto" w:fill="BFBFBF" w:themeFill="background1" w:themeFillShade="BF"/>
          </w:tcPr>
          <w:p w:rsidR="008D44A4" w:rsidRPr="003B1278" w:rsidRDefault="008D44A4" w:rsidP="000B09E5">
            <w:pPr>
              <w:jc w:val="center"/>
            </w:pPr>
          </w:p>
        </w:tc>
        <w:tc>
          <w:tcPr>
            <w:tcW w:w="1174" w:type="dxa"/>
            <w:shd w:val="clear" w:color="auto" w:fill="BFBFBF" w:themeFill="background1" w:themeFillShade="BF"/>
          </w:tcPr>
          <w:p w:rsidR="008D44A4" w:rsidRPr="003B1278" w:rsidRDefault="008D44A4" w:rsidP="000B09E5">
            <w:pPr>
              <w:jc w:val="center"/>
            </w:pPr>
          </w:p>
        </w:tc>
      </w:tr>
      <w:tr w:rsidR="008D44A4" w:rsidTr="003E2918">
        <w:tc>
          <w:tcPr>
            <w:tcW w:w="1203" w:type="dxa"/>
          </w:tcPr>
          <w:p w:rsidR="008D44A4" w:rsidRDefault="008D44A4" w:rsidP="000B09E5"/>
        </w:tc>
        <w:tc>
          <w:tcPr>
            <w:tcW w:w="1527" w:type="dxa"/>
          </w:tcPr>
          <w:p w:rsidR="008D44A4" w:rsidRDefault="008D44A4" w:rsidP="000B09E5">
            <w:r>
              <w:t>Rio de Janeiro</w:t>
            </w:r>
          </w:p>
        </w:tc>
        <w:tc>
          <w:tcPr>
            <w:tcW w:w="954" w:type="dxa"/>
          </w:tcPr>
          <w:p w:rsidR="008D44A4" w:rsidRDefault="008D44A4" w:rsidP="000B09E5">
            <w:r>
              <w:t>258</w:t>
            </w:r>
          </w:p>
        </w:tc>
        <w:tc>
          <w:tcPr>
            <w:tcW w:w="887" w:type="dxa"/>
          </w:tcPr>
          <w:p w:rsidR="008D44A4" w:rsidRDefault="008D44A4" w:rsidP="000B09E5">
            <w:r>
              <w:t>F</w:t>
            </w:r>
          </w:p>
        </w:tc>
        <w:tc>
          <w:tcPr>
            <w:tcW w:w="650" w:type="dxa"/>
          </w:tcPr>
          <w:p w:rsidR="008D44A4" w:rsidRDefault="008D44A4" w:rsidP="000B09E5">
            <w:r>
              <w:t>15-49</w:t>
            </w:r>
          </w:p>
        </w:tc>
        <w:tc>
          <w:tcPr>
            <w:tcW w:w="1524" w:type="dxa"/>
          </w:tcPr>
          <w:p w:rsidR="008D44A4" w:rsidRDefault="008D44A4" w:rsidP="000B09E5">
            <w:pPr>
              <w:jc w:val="center"/>
            </w:pPr>
            <w:r>
              <w:t>8.8%</w:t>
            </w:r>
          </w:p>
        </w:tc>
        <w:tc>
          <w:tcPr>
            <w:tcW w:w="1431" w:type="dxa"/>
            <w:shd w:val="clear" w:color="auto" w:fill="BFBFBF" w:themeFill="background1" w:themeFillShade="BF"/>
          </w:tcPr>
          <w:p w:rsidR="008D44A4" w:rsidRPr="003B1278" w:rsidRDefault="008D44A4" w:rsidP="000B09E5">
            <w:pPr>
              <w:jc w:val="center"/>
            </w:pPr>
          </w:p>
        </w:tc>
        <w:tc>
          <w:tcPr>
            <w:tcW w:w="1174" w:type="dxa"/>
            <w:shd w:val="clear" w:color="auto" w:fill="BFBFBF" w:themeFill="background1" w:themeFillShade="BF"/>
          </w:tcPr>
          <w:p w:rsidR="008D44A4" w:rsidRPr="003B1278" w:rsidRDefault="008D44A4" w:rsidP="000B09E5">
            <w:pPr>
              <w:jc w:val="center"/>
            </w:pPr>
          </w:p>
        </w:tc>
      </w:tr>
      <w:tr w:rsidR="008D44A4" w:rsidTr="003E2918">
        <w:tc>
          <w:tcPr>
            <w:tcW w:w="1203" w:type="dxa"/>
          </w:tcPr>
          <w:p w:rsidR="008D44A4" w:rsidRDefault="008D44A4" w:rsidP="000B09E5"/>
        </w:tc>
        <w:tc>
          <w:tcPr>
            <w:tcW w:w="1527" w:type="dxa"/>
          </w:tcPr>
          <w:p w:rsidR="008D44A4" w:rsidRDefault="008D44A4" w:rsidP="000B09E5">
            <w:r>
              <w:t>Sao Paulo</w:t>
            </w:r>
          </w:p>
        </w:tc>
        <w:tc>
          <w:tcPr>
            <w:tcW w:w="954" w:type="dxa"/>
          </w:tcPr>
          <w:p w:rsidR="008D44A4" w:rsidRDefault="008D44A4" w:rsidP="000B09E5">
            <w:r>
              <w:t>588</w:t>
            </w:r>
          </w:p>
        </w:tc>
        <w:tc>
          <w:tcPr>
            <w:tcW w:w="887" w:type="dxa"/>
          </w:tcPr>
          <w:p w:rsidR="008D44A4" w:rsidRDefault="008D44A4" w:rsidP="000B09E5">
            <w:r>
              <w:t>F</w:t>
            </w:r>
          </w:p>
        </w:tc>
        <w:tc>
          <w:tcPr>
            <w:tcW w:w="650" w:type="dxa"/>
          </w:tcPr>
          <w:p w:rsidR="008D44A4" w:rsidRDefault="008D44A4" w:rsidP="000B09E5">
            <w:r>
              <w:t>15-49</w:t>
            </w:r>
          </w:p>
        </w:tc>
        <w:tc>
          <w:tcPr>
            <w:tcW w:w="1524" w:type="dxa"/>
          </w:tcPr>
          <w:p w:rsidR="008D44A4" w:rsidRDefault="008D44A4" w:rsidP="000B09E5">
            <w:pPr>
              <w:jc w:val="center"/>
            </w:pPr>
            <w:r>
              <w:t>6.4%</w:t>
            </w:r>
          </w:p>
        </w:tc>
        <w:tc>
          <w:tcPr>
            <w:tcW w:w="1431" w:type="dxa"/>
            <w:shd w:val="clear" w:color="auto" w:fill="BFBFBF" w:themeFill="background1" w:themeFillShade="BF"/>
          </w:tcPr>
          <w:p w:rsidR="008D44A4" w:rsidRPr="003B1278" w:rsidRDefault="008D44A4" w:rsidP="000B09E5">
            <w:pPr>
              <w:jc w:val="center"/>
            </w:pPr>
          </w:p>
        </w:tc>
        <w:tc>
          <w:tcPr>
            <w:tcW w:w="1174" w:type="dxa"/>
            <w:shd w:val="clear" w:color="auto" w:fill="BFBFBF" w:themeFill="background1" w:themeFillShade="BF"/>
          </w:tcPr>
          <w:p w:rsidR="008D44A4" w:rsidRPr="003B1278" w:rsidRDefault="008D44A4" w:rsidP="000B09E5">
            <w:pPr>
              <w:jc w:val="center"/>
            </w:pPr>
          </w:p>
        </w:tc>
      </w:tr>
      <w:tr w:rsidR="008D44A4" w:rsidTr="003E2918">
        <w:tc>
          <w:tcPr>
            <w:tcW w:w="1203" w:type="dxa"/>
          </w:tcPr>
          <w:p w:rsidR="008D44A4" w:rsidRDefault="008D44A4" w:rsidP="000B09E5">
            <w:r>
              <w:lastRenderedPageBreak/>
              <w:t>BEMFAM 1997</w:t>
            </w:r>
          </w:p>
        </w:tc>
        <w:tc>
          <w:tcPr>
            <w:tcW w:w="1527" w:type="dxa"/>
          </w:tcPr>
          <w:p w:rsidR="008D44A4" w:rsidRDefault="008D44A4" w:rsidP="000B09E5"/>
        </w:tc>
        <w:tc>
          <w:tcPr>
            <w:tcW w:w="954" w:type="dxa"/>
          </w:tcPr>
          <w:p w:rsidR="008D44A4" w:rsidRDefault="008D44A4" w:rsidP="000B09E5"/>
        </w:tc>
        <w:tc>
          <w:tcPr>
            <w:tcW w:w="887" w:type="dxa"/>
          </w:tcPr>
          <w:p w:rsidR="008D44A4" w:rsidRDefault="008D44A4" w:rsidP="000B09E5"/>
        </w:tc>
        <w:tc>
          <w:tcPr>
            <w:tcW w:w="650" w:type="dxa"/>
          </w:tcPr>
          <w:p w:rsidR="008D44A4" w:rsidRDefault="008D44A4" w:rsidP="000B09E5"/>
        </w:tc>
        <w:tc>
          <w:tcPr>
            <w:tcW w:w="1524" w:type="dxa"/>
          </w:tcPr>
          <w:p w:rsidR="008D44A4" w:rsidRDefault="008D44A4" w:rsidP="000B09E5">
            <w:pPr>
              <w:jc w:val="center"/>
            </w:pPr>
          </w:p>
        </w:tc>
        <w:tc>
          <w:tcPr>
            <w:tcW w:w="1431" w:type="dxa"/>
          </w:tcPr>
          <w:p w:rsidR="008D44A4" w:rsidRDefault="008D44A4" w:rsidP="000B09E5">
            <w:pPr>
              <w:jc w:val="center"/>
            </w:pPr>
          </w:p>
        </w:tc>
        <w:tc>
          <w:tcPr>
            <w:tcW w:w="1174" w:type="dxa"/>
          </w:tcPr>
          <w:p w:rsidR="008D44A4" w:rsidRDefault="008D44A4" w:rsidP="000B09E5">
            <w:pPr>
              <w:jc w:val="center"/>
            </w:pPr>
          </w:p>
        </w:tc>
      </w:tr>
      <w:tr w:rsidR="008D44A4" w:rsidTr="003E2918">
        <w:tc>
          <w:tcPr>
            <w:tcW w:w="1203" w:type="dxa"/>
          </w:tcPr>
          <w:p w:rsidR="008D44A4" w:rsidRDefault="008D44A4" w:rsidP="000B09E5">
            <w:r>
              <w:t>PNSN 1989</w:t>
            </w:r>
          </w:p>
        </w:tc>
        <w:tc>
          <w:tcPr>
            <w:tcW w:w="1527" w:type="dxa"/>
          </w:tcPr>
          <w:p w:rsidR="008D44A4" w:rsidRDefault="008D44A4" w:rsidP="000B09E5">
            <w:r>
              <w:t>National</w:t>
            </w:r>
          </w:p>
        </w:tc>
        <w:tc>
          <w:tcPr>
            <w:tcW w:w="954" w:type="dxa"/>
          </w:tcPr>
          <w:p w:rsidR="008D44A4" w:rsidRDefault="008D44A4" w:rsidP="000B09E5">
            <w:r>
              <w:t>17168</w:t>
            </w:r>
          </w:p>
        </w:tc>
        <w:tc>
          <w:tcPr>
            <w:tcW w:w="887" w:type="dxa"/>
          </w:tcPr>
          <w:p w:rsidR="008D44A4" w:rsidRDefault="008D44A4" w:rsidP="000B09E5">
            <w:r>
              <w:t>F</w:t>
            </w:r>
          </w:p>
        </w:tc>
        <w:tc>
          <w:tcPr>
            <w:tcW w:w="650" w:type="dxa"/>
          </w:tcPr>
          <w:p w:rsidR="008D44A4" w:rsidRDefault="008D44A4" w:rsidP="000B09E5">
            <w:r>
              <w:t>&gt;18</w:t>
            </w:r>
          </w:p>
        </w:tc>
        <w:tc>
          <w:tcPr>
            <w:tcW w:w="1524" w:type="dxa"/>
          </w:tcPr>
          <w:p w:rsidR="008D44A4" w:rsidRDefault="008D44A4" w:rsidP="000B09E5">
            <w:pPr>
              <w:jc w:val="center"/>
            </w:pPr>
            <w:r>
              <w:t>5.8%</w:t>
            </w:r>
          </w:p>
        </w:tc>
        <w:tc>
          <w:tcPr>
            <w:tcW w:w="1431" w:type="dxa"/>
          </w:tcPr>
          <w:p w:rsidR="008D44A4" w:rsidRDefault="008D44A4" w:rsidP="000B09E5">
            <w:pPr>
              <w:jc w:val="center"/>
            </w:pPr>
            <w:r>
              <w:t>26.6%</w:t>
            </w:r>
          </w:p>
        </w:tc>
        <w:tc>
          <w:tcPr>
            <w:tcW w:w="1174" w:type="dxa"/>
          </w:tcPr>
          <w:p w:rsidR="008D44A4" w:rsidRDefault="008D44A4" w:rsidP="000B09E5">
            <w:pPr>
              <w:jc w:val="center"/>
            </w:pPr>
            <w:r>
              <w:t>11.8%</w:t>
            </w:r>
          </w:p>
        </w:tc>
      </w:tr>
      <w:tr w:rsidR="008D44A4" w:rsidTr="003E2918">
        <w:tc>
          <w:tcPr>
            <w:tcW w:w="1203" w:type="dxa"/>
          </w:tcPr>
          <w:p w:rsidR="008D44A4" w:rsidRDefault="008D44A4" w:rsidP="000B09E5"/>
        </w:tc>
        <w:tc>
          <w:tcPr>
            <w:tcW w:w="1527" w:type="dxa"/>
          </w:tcPr>
          <w:p w:rsidR="008D44A4" w:rsidRDefault="008D44A4" w:rsidP="000B09E5">
            <w:r>
              <w:t xml:space="preserve">Urban </w:t>
            </w:r>
          </w:p>
        </w:tc>
        <w:tc>
          <w:tcPr>
            <w:tcW w:w="954" w:type="dxa"/>
          </w:tcPr>
          <w:p w:rsidR="008D44A4" w:rsidRDefault="008D44A4" w:rsidP="000B09E5">
            <w:r>
              <w:t>9325</w:t>
            </w:r>
          </w:p>
        </w:tc>
        <w:tc>
          <w:tcPr>
            <w:tcW w:w="887" w:type="dxa"/>
          </w:tcPr>
          <w:p w:rsidR="008D44A4" w:rsidRDefault="008D44A4" w:rsidP="000B09E5">
            <w:r>
              <w:t>F</w:t>
            </w:r>
          </w:p>
        </w:tc>
        <w:tc>
          <w:tcPr>
            <w:tcW w:w="650" w:type="dxa"/>
          </w:tcPr>
          <w:p w:rsidR="008D44A4" w:rsidRDefault="008D44A4" w:rsidP="000B09E5">
            <w:r>
              <w:t>&gt;18</w:t>
            </w:r>
          </w:p>
        </w:tc>
        <w:tc>
          <w:tcPr>
            <w:tcW w:w="1524" w:type="dxa"/>
          </w:tcPr>
          <w:p w:rsidR="008D44A4" w:rsidRDefault="008D44A4" w:rsidP="000B09E5">
            <w:pPr>
              <w:jc w:val="center"/>
            </w:pPr>
            <w:r>
              <w:t>4.8%</w:t>
            </w:r>
          </w:p>
        </w:tc>
        <w:tc>
          <w:tcPr>
            <w:tcW w:w="1431" w:type="dxa"/>
          </w:tcPr>
          <w:p w:rsidR="008D44A4" w:rsidRDefault="008D44A4" w:rsidP="000B09E5">
            <w:pPr>
              <w:jc w:val="center"/>
            </w:pPr>
            <w:r>
              <w:t>27.9%</w:t>
            </w:r>
          </w:p>
        </w:tc>
        <w:tc>
          <w:tcPr>
            <w:tcW w:w="1174" w:type="dxa"/>
          </w:tcPr>
          <w:p w:rsidR="008D44A4" w:rsidRDefault="008D44A4" w:rsidP="000B09E5">
            <w:pPr>
              <w:jc w:val="center"/>
            </w:pPr>
            <w:r>
              <w:t>12.6%</w:t>
            </w:r>
          </w:p>
        </w:tc>
      </w:tr>
      <w:tr w:rsidR="008D44A4" w:rsidTr="003E2918">
        <w:tc>
          <w:tcPr>
            <w:tcW w:w="1203" w:type="dxa"/>
            <w:tcBorders>
              <w:bottom w:val="double" w:sz="4" w:space="0" w:color="auto"/>
            </w:tcBorders>
          </w:tcPr>
          <w:p w:rsidR="008D44A4" w:rsidRDefault="008D44A4" w:rsidP="000B09E5"/>
        </w:tc>
        <w:tc>
          <w:tcPr>
            <w:tcW w:w="1527" w:type="dxa"/>
            <w:tcBorders>
              <w:bottom w:val="double" w:sz="4" w:space="0" w:color="auto"/>
            </w:tcBorders>
          </w:tcPr>
          <w:p w:rsidR="008D44A4" w:rsidRDefault="008D44A4" w:rsidP="000B09E5">
            <w:r>
              <w:t>Rural</w:t>
            </w:r>
          </w:p>
        </w:tc>
        <w:tc>
          <w:tcPr>
            <w:tcW w:w="954" w:type="dxa"/>
            <w:tcBorders>
              <w:bottom w:val="double" w:sz="4" w:space="0" w:color="auto"/>
            </w:tcBorders>
          </w:tcPr>
          <w:p w:rsidR="008D44A4" w:rsidRDefault="008D44A4" w:rsidP="000B09E5">
            <w:r>
              <w:t>6565</w:t>
            </w:r>
          </w:p>
        </w:tc>
        <w:tc>
          <w:tcPr>
            <w:tcW w:w="887" w:type="dxa"/>
            <w:tcBorders>
              <w:bottom w:val="double" w:sz="4" w:space="0" w:color="auto"/>
            </w:tcBorders>
          </w:tcPr>
          <w:p w:rsidR="008D44A4" w:rsidRDefault="008D44A4" w:rsidP="000B09E5">
            <w:r>
              <w:t>F</w:t>
            </w:r>
          </w:p>
        </w:tc>
        <w:tc>
          <w:tcPr>
            <w:tcW w:w="650" w:type="dxa"/>
            <w:tcBorders>
              <w:bottom w:val="double" w:sz="4" w:space="0" w:color="auto"/>
            </w:tcBorders>
          </w:tcPr>
          <w:p w:rsidR="008D44A4" w:rsidRDefault="008D44A4" w:rsidP="000B09E5">
            <w:r>
              <w:t>&gt;18</w:t>
            </w:r>
          </w:p>
        </w:tc>
        <w:tc>
          <w:tcPr>
            <w:tcW w:w="1524" w:type="dxa"/>
            <w:tcBorders>
              <w:bottom w:val="double" w:sz="4" w:space="0" w:color="auto"/>
            </w:tcBorders>
          </w:tcPr>
          <w:p w:rsidR="008D44A4" w:rsidRDefault="008D44A4" w:rsidP="000B09E5">
            <w:pPr>
              <w:jc w:val="center"/>
            </w:pPr>
            <w:r>
              <w:t>8.6%</w:t>
            </w:r>
          </w:p>
        </w:tc>
        <w:tc>
          <w:tcPr>
            <w:tcW w:w="1431" w:type="dxa"/>
            <w:tcBorders>
              <w:bottom w:val="double" w:sz="4" w:space="0" w:color="auto"/>
            </w:tcBorders>
          </w:tcPr>
          <w:p w:rsidR="008D44A4" w:rsidRDefault="008D44A4" w:rsidP="000B09E5">
            <w:pPr>
              <w:jc w:val="center"/>
            </w:pPr>
            <w:r>
              <w:t>21.6%</w:t>
            </w:r>
          </w:p>
        </w:tc>
        <w:tc>
          <w:tcPr>
            <w:tcW w:w="1174" w:type="dxa"/>
            <w:tcBorders>
              <w:bottom w:val="double" w:sz="4" w:space="0" w:color="auto"/>
            </w:tcBorders>
          </w:tcPr>
          <w:p w:rsidR="008D44A4" w:rsidRDefault="008D44A4" w:rsidP="000B09E5">
            <w:pPr>
              <w:jc w:val="center"/>
            </w:pPr>
            <w:r>
              <w:t>8.8%</w:t>
            </w:r>
          </w:p>
        </w:tc>
      </w:tr>
      <w:tr w:rsidR="008D44A4" w:rsidTr="003E2918">
        <w:tc>
          <w:tcPr>
            <w:tcW w:w="1203" w:type="dxa"/>
          </w:tcPr>
          <w:p w:rsidR="008D44A4" w:rsidRDefault="008D44A4" w:rsidP="000B09E5"/>
        </w:tc>
        <w:tc>
          <w:tcPr>
            <w:tcW w:w="1527" w:type="dxa"/>
          </w:tcPr>
          <w:p w:rsidR="008D44A4" w:rsidRDefault="008D44A4" w:rsidP="000B09E5">
            <w:r>
              <w:t>Northeast</w:t>
            </w:r>
          </w:p>
        </w:tc>
        <w:tc>
          <w:tcPr>
            <w:tcW w:w="954" w:type="dxa"/>
          </w:tcPr>
          <w:p w:rsidR="008D44A4" w:rsidRDefault="008D44A4" w:rsidP="000B09E5"/>
        </w:tc>
        <w:tc>
          <w:tcPr>
            <w:tcW w:w="887" w:type="dxa"/>
          </w:tcPr>
          <w:p w:rsidR="008D44A4" w:rsidRDefault="008D44A4" w:rsidP="000B09E5">
            <w:r>
              <w:t>F</w:t>
            </w:r>
          </w:p>
        </w:tc>
        <w:tc>
          <w:tcPr>
            <w:tcW w:w="650" w:type="dxa"/>
          </w:tcPr>
          <w:p w:rsidR="008D44A4" w:rsidRDefault="008D44A4" w:rsidP="000B09E5">
            <w:r>
              <w:t>&gt;18</w:t>
            </w:r>
          </w:p>
        </w:tc>
        <w:tc>
          <w:tcPr>
            <w:tcW w:w="1524" w:type="dxa"/>
          </w:tcPr>
          <w:p w:rsidR="008D44A4" w:rsidRDefault="008D44A4" w:rsidP="000B09E5">
            <w:pPr>
              <w:jc w:val="center"/>
            </w:pPr>
            <w:r>
              <w:t>8.4%</w:t>
            </w:r>
          </w:p>
        </w:tc>
        <w:tc>
          <w:tcPr>
            <w:tcW w:w="1431" w:type="dxa"/>
            <w:shd w:val="clear" w:color="auto" w:fill="BFBFBF" w:themeFill="background1" w:themeFillShade="BF"/>
          </w:tcPr>
          <w:p w:rsidR="008D44A4" w:rsidRDefault="008D44A4" w:rsidP="000B09E5">
            <w:pPr>
              <w:jc w:val="center"/>
            </w:pPr>
          </w:p>
        </w:tc>
        <w:tc>
          <w:tcPr>
            <w:tcW w:w="1174" w:type="dxa"/>
          </w:tcPr>
          <w:p w:rsidR="008D44A4" w:rsidRDefault="008D44A4" w:rsidP="000B09E5">
            <w:pPr>
              <w:jc w:val="center"/>
            </w:pPr>
            <w:r>
              <w:t>8.9%</w:t>
            </w:r>
          </w:p>
        </w:tc>
      </w:tr>
      <w:tr w:rsidR="008D44A4" w:rsidTr="003E2918">
        <w:tc>
          <w:tcPr>
            <w:tcW w:w="1203" w:type="dxa"/>
          </w:tcPr>
          <w:p w:rsidR="008D44A4" w:rsidRDefault="008D44A4" w:rsidP="000B09E5"/>
        </w:tc>
        <w:tc>
          <w:tcPr>
            <w:tcW w:w="1527" w:type="dxa"/>
          </w:tcPr>
          <w:p w:rsidR="008D44A4" w:rsidRDefault="008D44A4" w:rsidP="000B09E5">
            <w:r>
              <w:t>Northeast urban</w:t>
            </w:r>
          </w:p>
        </w:tc>
        <w:tc>
          <w:tcPr>
            <w:tcW w:w="954" w:type="dxa"/>
          </w:tcPr>
          <w:p w:rsidR="008D44A4" w:rsidRDefault="008D44A4" w:rsidP="000B09E5">
            <w:r>
              <w:t>1850</w:t>
            </w:r>
          </w:p>
        </w:tc>
        <w:tc>
          <w:tcPr>
            <w:tcW w:w="887" w:type="dxa"/>
          </w:tcPr>
          <w:p w:rsidR="008D44A4" w:rsidRDefault="008D44A4" w:rsidP="000B09E5">
            <w:r>
              <w:t>F</w:t>
            </w:r>
          </w:p>
        </w:tc>
        <w:tc>
          <w:tcPr>
            <w:tcW w:w="650" w:type="dxa"/>
          </w:tcPr>
          <w:p w:rsidR="008D44A4" w:rsidRDefault="008D44A4" w:rsidP="000B09E5">
            <w:r>
              <w:t>&gt;18</w:t>
            </w:r>
          </w:p>
        </w:tc>
        <w:tc>
          <w:tcPr>
            <w:tcW w:w="1524" w:type="dxa"/>
          </w:tcPr>
          <w:p w:rsidR="008D44A4" w:rsidRDefault="008D44A4" w:rsidP="000B09E5">
            <w:pPr>
              <w:jc w:val="center"/>
            </w:pPr>
            <w:r>
              <w:t>5.2%</w:t>
            </w:r>
          </w:p>
        </w:tc>
        <w:tc>
          <w:tcPr>
            <w:tcW w:w="1431" w:type="dxa"/>
          </w:tcPr>
          <w:p w:rsidR="008D44A4" w:rsidRDefault="008D44A4" w:rsidP="000B09E5">
            <w:pPr>
              <w:jc w:val="center"/>
            </w:pPr>
            <w:r>
              <w:t>25.4%</w:t>
            </w:r>
          </w:p>
        </w:tc>
        <w:tc>
          <w:tcPr>
            <w:tcW w:w="1174" w:type="dxa"/>
          </w:tcPr>
          <w:p w:rsidR="008D44A4" w:rsidRDefault="008D44A4" w:rsidP="000B09E5">
            <w:pPr>
              <w:jc w:val="center"/>
            </w:pPr>
            <w:r>
              <w:t>4.3%</w:t>
            </w:r>
          </w:p>
        </w:tc>
      </w:tr>
      <w:tr w:rsidR="008D44A4" w:rsidTr="003E2918">
        <w:tc>
          <w:tcPr>
            <w:tcW w:w="1203" w:type="dxa"/>
          </w:tcPr>
          <w:p w:rsidR="008D44A4" w:rsidRDefault="008D44A4" w:rsidP="000B09E5"/>
        </w:tc>
        <w:tc>
          <w:tcPr>
            <w:tcW w:w="1527" w:type="dxa"/>
          </w:tcPr>
          <w:p w:rsidR="008D44A4" w:rsidRDefault="008D44A4" w:rsidP="000B09E5">
            <w:r>
              <w:t>Northeast rural</w:t>
            </w:r>
          </w:p>
        </w:tc>
        <w:tc>
          <w:tcPr>
            <w:tcW w:w="954" w:type="dxa"/>
          </w:tcPr>
          <w:p w:rsidR="008D44A4" w:rsidRDefault="008D44A4" w:rsidP="000B09E5">
            <w:r>
              <w:t>1937</w:t>
            </w:r>
          </w:p>
        </w:tc>
        <w:tc>
          <w:tcPr>
            <w:tcW w:w="887" w:type="dxa"/>
          </w:tcPr>
          <w:p w:rsidR="008D44A4" w:rsidRDefault="008D44A4" w:rsidP="000B09E5">
            <w:r>
              <w:t>F</w:t>
            </w:r>
          </w:p>
        </w:tc>
        <w:tc>
          <w:tcPr>
            <w:tcW w:w="650" w:type="dxa"/>
          </w:tcPr>
          <w:p w:rsidR="008D44A4" w:rsidRDefault="008D44A4" w:rsidP="000B09E5">
            <w:r>
              <w:t>&gt;18</w:t>
            </w:r>
          </w:p>
        </w:tc>
        <w:tc>
          <w:tcPr>
            <w:tcW w:w="1524" w:type="dxa"/>
          </w:tcPr>
          <w:p w:rsidR="008D44A4" w:rsidRDefault="008D44A4" w:rsidP="000B09E5">
            <w:pPr>
              <w:jc w:val="center"/>
            </w:pPr>
            <w:r>
              <w:t>12.2%</w:t>
            </w:r>
          </w:p>
        </w:tc>
        <w:tc>
          <w:tcPr>
            <w:tcW w:w="1431" w:type="dxa"/>
          </w:tcPr>
          <w:p w:rsidR="008D44A4" w:rsidRDefault="008D44A4" w:rsidP="000B09E5">
            <w:pPr>
              <w:jc w:val="center"/>
            </w:pPr>
            <w:r>
              <w:t>17.1%</w:t>
            </w:r>
          </w:p>
        </w:tc>
        <w:tc>
          <w:tcPr>
            <w:tcW w:w="1174" w:type="dxa"/>
            <w:shd w:val="clear" w:color="auto" w:fill="BFBFBF" w:themeFill="background1" w:themeFillShade="BF"/>
          </w:tcPr>
          <w:p w:rsidR="008D44A4" w:rsidRDefault="008D44A4" w:rsidP="000B09E5">
            <w:pPr>
              <w:jc w:val="center"/>
            </w:pPr>
          </w:p>
        </w:tc>
      </w:tr>
      <w:tr w:rsidR="008D44A4" w:rsidTr="003E2918">
        <w:tc>
          <w:tcPr>
            <w:tcW w:w="1203" w:type="dxa"/>
          </w:tcPr>
          <w:p w:rsidR="008D44A4" w:rsidRDefault="008D44A4" w:rsidP="000B09E5"/>
        </w:tc>
        <w:tc>
          <w:tcPr>
            <w:tcW w:w="1527" w:type="dxa"/>
          </w:tcPr>
          <w:p w:rsidR="008D44A4" w:rsidRDefault="008D44A4" w:rsidP="000B09E5">
            <w:r>
              <w:t>Centersouth</w:t>
            </w:r>
          </w:p>
        </w:tc>
        <w:tc>
          <w:tcPr>
            <w:tcW w:w="954" w:type="dxa"/>
          </w:tcPr>
          <w:p w:rsidR="008D44A4" w:rsidRDefault="008D44A4" w:rsidP="000B09E5"/>
        </w:tc>
        <w:tc>
          <w:tcPr>
            <w:tcW w:w="887" w:type="dxa"/>
          </w:tcPr>
          <w:p w:rsidR="008D44A4" w:rsidRDefault="008D44A4" w:rsidP="000B09E5">
            <w:r>
              <w:t>F</w:t>
            </w:r>
          </w:p>
        </w:tc>
        <w:tc>
          <w:tcPr>
            <w:tcW w:w="650" w:type="dxa"/>
          </w:tcPr>
          <w:p w:rsidR="008D44A4" w:rsidRDefault="008D44A4" w:rsidP="000B09E5">
            <w:r>
              <w:t>&gt;18</w:t>
            </w:r>
          </w:p>
        </w:tc>
        <w:tc>
          <w:tcPr>
            <w:tcW w:w="1524" w:type="dxa"/>
          </w:tcPr>
          <w:p w:rsidR="008D44A4" w:rsidRDefault="008D44A4" w:rsidP="000B09E5">
            <w:pPr>
              <w:jc w:val="center"/>
            </w:pPr>
            <w:r>
              <w:t>4.7%</w:t>
            </w:r>
          </w:p>
        </w:tc>
        <w:tc>
          <w:tcPr>
            <w:tcW w:w="1431" w:type="dxa"/>
            <w:shd w:val="clear" w:color="auto" w:fill="BFBFBF" w:themeFill="background1" w:themeFillShade="BF"/>
          </w:tcPr>
          <w:p w:rsidR="008D44A4" w:rsidRDefault="008D44A4" w:rsidP="000B09E5">
            <w:pPr>
              <w:jc w:val="center"/>
            </w:pPr>
          </w:p>
        </w:tc>
        <w:tc>
          <w:tcPr>
            <w:tcW w:w="1174" w:type="dxa"/>
          </w:tcPr>
          <w:p w:rsidR="008D44A4" w:rsidRDefault="008D44A4" w:rsidP="000B09E5">
            <w:pPr>
              <w:jc w:val="center"/>
            </w:pPr>
            <w:r>
              <w:t>14.3%</w:t>
            </w:r>
          </w:p>
        </w:tc>
      </w:tr>
      <w:tr w:rsidR="008D44A4" w:rsidTr="003E2918">
        <w:tc>
          <w:tcPr>
            <w:tcW w:w="1203" w:type="dxa"/>
          </w:tcPr>
          <w:p w:rsidR="008D44A4" w:rsidRDefault="008D44A4" w:rsidP="000B09E5"/>
        </w:tc>
        <w:tc>
          <w:tcPr>
            <w:tcW w:w="1527" w:type="dxa"/>
          </w:tcPr>
          <w:p w:rsidR="008D44A4" w:rsidRDefault="008D44A4" w:rsidP="000B09E5">
            <w:r>
              <w:t>Centersouth urban</w:t>
            </w:r>
          </w:p>
        </w:tc>
        <w:tc>
          <w:tcPr>
            <w:tcW w:w="954" w:type="dxa"/>
          </w:tcPr>
          <w:p w:rsidR="008D44A4" w:rsidRDefault="008D44A4" w:rsidP="000B09E5">
            <w:r>
              <w:t>1742</w:t>
            </w:r>
          </w:p>
        </w:tc>
        <w:tc>
          <w:tcPr>
            <w:tcW w:w="887" w:type="dxa"/>
          </w:tcPr>
          <w:p w:rsidR="008D44A4" w:rsidRDefault="008D44A4" w:rsidP="000B09E5">
            <w:r>
              <w:t>F</w:t>
            </w:r>
          </w:p>
        </w:tc>
        <w:tc>
          <w:tcPr>
            <w:tcW w:w="650" w:type="dxa"/>
          </w:tcPr>
          <w:p w:rsidR="008D44A4" w:rsidRDefault="008D44A4" w:rsidP="000B09E5">
            <w:r>
              <w:t>&gt;18</w:t>
            </w:r>
          </w:p>
        </w:tc>
        <w:tc>
          <w:tcPr>
            <w:tcW w:w="1524" w:type="dxa"/>
          </w:tcPr>
          <w:p w:rsidR="008D44A4" w:rsidRDefault="008D44A4" w:rsidP="000B09E5">
            <w:pPr>
              <w:jc w:val="center"/>
            </w:pPr>
            <w:r>
              <w:t>4.6%</w:t>
            </w:r>
          </w:p>
        </w:tc>
        <w:tc>
          <w:tcPr>
            <w:tcW w:w="1431" w:type="dxa"/>
            <w:shd w:val="clear" w:color="auto" w:fill="BFBFBF" w:themeFill="background1" w:themeFillShade="BF"/>
          </w:tcPr>
          <w:p w:rsidR="008D44A4" w:rsidRDefault="008D44A4" w:rsidP="000B09E5">
            <w:pPr>
              <w:jc w:val="center"/>
            </w:pPr>
          </w:p>
        </w:tc>
        <w:tc>
          <w:tcPr>
            <w:tcW w:w="1174" w:type="dxa"/>
            <w:shd w:val="clear" w:color="auto" w:fill="BFBFBF" w:themeFill="background1" w:themeFillShade="BF"/>
          </w:tcPr>
          <w:p w:rsidR="008D44A4" w:rsidRDefault="008D44A4" w:rsidP="000B09E5">
            <w:pPr>
              <w:jc w:val="center"/>
            </w:pPr>
          </w:p>
        </w:tc>
      </w:tr>
      <w:tr w:rsidR="008D44A4" w:rsidTr="003E2918">
        <w:tc>
          <w:tcPr>
            <w:tcW w:w="1203" w:type="dxa"/>
          </w:tcPr>
          <w:p w:rsidR="008D44A4" w:rsidRDefault="008D44A4" w:rsidP="000B09E5"/>
        </w:tc>
        <w:tc>
          <w:tcPr>
            <w:tcW w:w="1527" w:type="dxa"/>
          </w:tcPr>
          <w:p w:rsidR="008D44A4" w:rsidRDefault="008D44A4" w:rsidP="000B09E5">
            <w:r>
              <w:t>Centersouth rural</w:t>
            </w:r>
          </w:p>
        </w:tc>
        <w:tc>
          <w:tcPr>
            <w:tcW w:w="954" w:type="dxa"/>
          </w:tcPr>
          <w:p w:rsidR="008D44A4" w:rsidRDefault="008D44A4" w:rsidP="000B09E5">
            <w:r>
              <w:t>1823</w:t>
            </w:r>
          </w:p>
        </w:tc>
        <w:tc>
          <w:tcPr>
            <w:tcW w:w="887" w:type="dxa"/>
          </w:tcPr>
          <w:p w:rsidR="008D44A4" w:rsidRDefault="008D44A4" w:rsidP="000B09E5">
            <w:r>
              <w:t>F</w:t>
            </w:r>
          </w:p>
        </w:tc>
        <w:tc>
          <w:tcPr>
            <w:tcW w:w="650" w:type="dxa"/>
          </w:tcPr>
          <w:p w:rsidR="008D44A4" w:rsidRDefault="008D44A4" w:rsidP="000B09E5">
            <w:r>
              <w:t>&gt;18</w:t>
            </w:r>
          </w:p>
        </w:tc>
        <w:tc>
          <w:tcPr>
            <w:tcW w:w="1524" w:type="dxa"/>
          </w:tcPr>
          <w:p w:rsidR="008D44A4" w:rsidRDefault="008D44A4" w:rsidP="000B09E5">
            <w:pPr>
              <w:jc w:val="center"/>
            </w:pPr>
            <w:r>
              <w:t>5.1%</w:t>
            </w:r>
          </w:p>
        </w:tc>
        <w:tc>
          <w:tcPr>
            <w:tcW w:w="1431" w:type="dxa"/>
            <w:shd w:val="clear" w:color="auto" w:fill="BFBFBF" w:themeFill="background1" w:themeFillShade="BF"/>
          </w:tcPr>
          <w:p w:rsidR="008D44A4" w:rsidRDefault="008D44A4" w:rsidP="000B09E5">
            <w:pPr>
              <w:jc w:val="center"/>
            </w:pPr>
          </w:p>
        </w:tc>
        <w:tc>
          <w:tcPr>
            <w:tcW w:w="1174" w:type="dxa"/>
            <w:shd w:val="clear" w:color="auto" w:fill="BFBFBF" w:themeFill="background1" w:themeFillShade="BF"/>
          </w:tcPr>
          <w:p w:rsidR="008D44A4" w:rsidRDefault="008D44A4" w:rsidP="000B09E5">
            <w:pPr>
              <w:jc w:val="center"/>
            </w:pPr>
          </w:p>
        </w:tc>
      </w:tr>
    </w:tbl>
    <w:p w:rsidR="008D44A4" w:rsidRDefault="000B09E5" w:rsidP="007E679C">
      <w:pPr>
        <w:rPr>
          <w:rFonts w:ascii="Times New Roman" w:hAnsi="Times New Roman" w:cs="Times New Roman"/>
          <w:sz w:val="24"/>
          <w:szCs w:val="24"/>
        </w:rPr>
      </w:pPr>
      <w:r>
        <w:rPr>
          <w:rFonts w:ascii="Times New Roman" w:hAnsi="Times New Roman" w:cs="Times New Roman"/>
          <w:sz w:val="24"/>
          <w:szCs w:val="24"/>
        </w:rPr>
        <w:t>Source: FAO</w:t>
      </w:r>
      <w:r w:rsidR="008D44A4">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"id" : "ITEM-1", "issued" : { "date-parts" : [ [ "2000" ] ] }, "publisher-place" : "Rome, Italy", "title" : "FAO - Nutrition Country Profiles: Brazil", "type" : "report" }, "uris" : [ "http://www.mendeley.com/documents/?uuid=2d681cd3-8702-464d-8001-33ad7afa6881" ] } ], "mendeley" : { "formattedCitation" : "&lt;sup&gt;10&lt;/sup&gt;", "plainTextFormattedCitation" : "10", "previouslyFormattedCitation" : "&lt;sup&gt;9&lt;/sup&gt;" }, "properties" : { "noteIndex" : 0 }, "schema" : "https://github.com/citation-style-language/schema/raw/master/csl-citation.json" }</w:instrText>
      </w:r>
      <w:r w:rsidR="008D44A4">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10</w:t>
      </w:r>
      <w:r w:rsidR="008D44A4">
        <w:rPr>
          <w:rFonts w:ascii="Times New Roman" w:hAnsi="Times New Roman" w:cs="Times New Roman"/>
          <w:sz w:val="24"/>
          <w:szCs w:val="24"/>
        </w:rPr>
        <w:fldChar w:fldCharType="end"/>
      </w:r>
    </w:p>
    <w:p w:rsidR="003E2918" w:rsidRDefault="003E2918" w:rsidP="003E2918">
      <w:pPr>
        <w:rPr>
          <w:rFonts w:ascii="Times New Roman" w:hAnsi="Times New Roman" w:cs="Times New Roman"/>
          <w:sz w:val="24"/>
          <w:szCs w:val="24"/>
        </w:rPr>
      </w:pPr>
      <w:r>
        <w:rPr>
          <w:rFonts w:ascii="Times New Roman" w:hAnsi="Times New Roman" w:cs="Times New Roman"/>
          <w:sz w:val="24"/>
          <w:szCs w:val="24"/>
        </w:rPr>
        <w:t xml:space="preserve">Table 1.1 </w:t>
      </w:r>
    </w:p>
    <w:p w:rsidR="003E2918" w:rsidRDefault="003E2918" w:rsidP="003E2918">
      <w:pPr>
        <w:rPr>
          <w:rFonts w:ascii="Times New Roman" w:hAnsi="Times New Roman" w:cs="Times New Roman"/>
          <w:sz w:val="24"/>
          <w:szCs w:val="24"/>
        </w:rPr>
      </w:pPr>
      <w:r>
        <w:rPr>
          <w:rFonts w:ascii="Times New Roman" w:hAnsi="Times New Roman" w:cs="Times New Roman"/>
          <w:sz w:val="24"/>
          <w:szCs w:val="24"/>
        </w:rPr>
        <w:t>Prevalence of Underweight, Overweight, Wasting and Stunting in Brazil in children less than 5 years old according to the 1996 DHS Survey</w:t>
      </w:r>
    </w:p>
    <w:tbl>
      <w:tblPr>
        <w:tblStyle w:val="TableGrid"/>
        <w:tblW w:w="9364" w:type="dxa"/>
        <w:tblLook w:val="04A0" w:firstRow="1" w:lastRow="0" w:firstColumn="1" w:lastColumn="0" w:noHBand="0" w:noVBand="1"/>
      </w:tblPr>
      <w:tblGrid>
        <w:gridCol w:w="1296"/>
        <w:gridCol w:w="1219"/>
        <w:gridCol w:w="1220"/>
        <w:gridCol w:w="1629"/>
        <w:gridCol w:w="1254"/>
        <w:gridCol w:w="1249"/>
        <w:gridCol w:w="1497"/>
      </w:tblGrid>
      <w:tr w:rsidR="003E2918" w:rsidTr="003E2918">
        <w:trPr>
          <w:trHeight w:val="623"/>
        </w:trPr>
        <w:tc>
          <w:tcPr>
            <w:tcW w:w="1268" w:type="dxa"/>
          </w:tcPr>
          <w:p w:rsidR="003E2918" w:rsidRDefault="003E2918" w:rsidP="007E679C">
            <w:pPr>
              <w:rPr>
                <w:rFonts w:ascii="Times New Roman" w:hAnsi="Times New Roman" w:cs="Times New Roman"/>
                <w:sz w:val="24"/>
                <w:szCs w:val="24"/>
              </w:rPr>
            </w:pPr>
            <w:r>
              <w:rPr>
                <w:rFonts w:ascii="Times New Roman" w:hAnsi="Times New Roman" w:cs="Times New Roman"/>
                <w:sz w:val="24"/>
                <w:szCs w:val="24"/>
              </w:rPr>
              <w:t>Location</w:t>
            </w:r>
          </w:p>
        </w:tc>
        <w:tc>
          <w:tcPr>
            <w:tcW w:w="1228" w:type="dxa"/>
          </w:tcPr>
          <w:p w:rsidR="003E2918" w:rsidRDefault="003E2918" w:rsidP="007E679C">
            <w:pPr>
              <w:rPr>
                <w:rFonts w:ascii="Times New Roman" w:hAnsi="Times New Roman" w:cs="Times New Roman"/>
                <w:sz w:val="24"/>
                <w:szCs w:val="24"/>
              </w:rPr>
            </w:pPr>
            <w:r>
              <w:rPr>
                <w:rFonts w:ascii="Times New Roman" w:hAnsi="Times New Roman" w:cs="Times New Roman"/>
                <w:sz w:val="24"/>
                <w:szCs w:val="24"/>
              </w:rPr>
              <w:t>Sample Size</w:t>
            </w:r>
          </w:p>
        </w:tc>
        <w:tc>
          <w:tcPr>
            <w:tcW w:w="1229" w:type="dxa"/>
          </w:tcPr>
          <w:p w:rsidR="003E2918" w:rsidRDefault="003E2918" w:rsidP="007E679C">
            <w:pPr>
              <w:rPr>
                <w:rFonts w:ascii="Times New Roman" w:hAnsi="Times New Roman" w:cs="Times New Roman"/>
                <w:sz w:val="24"/>
                <w:szCs w:val="24"/>
              </w:rPr>
            </w:pPr>
            <w:r>
              <w:rPr>
                <w:rFonts w:ascii="Times New Roman" w:hAnsi="Times New Roman" w:cs="Times New Roman"/>
                <w:sz w:val="24"/>
                <w:szCs w:val="24"/>
              </w:rPr>
              <w:t>Sample Gender</w:t>
            </w:r>
          </w:p>
        </w:tc>
        <w:tc>
          <w:tcPr>
            <w:tcW w:w="1631" w:type="dxa"/>
          </w:tcPr>
          <w:p w:rsidR="003E2918" w:rsidRDefault="003E2918" w:rsidP="007E679C">
            <w:pPr>
              <w:rPr>
                <w:rFonts w:ascii="Times New Roman" w:hAnsi="Times New Roman" w:cs="Times New Roman"/>
                <w:sz w:val="24"/>
                <w:szCs w:val="24"/>
              </w:rPr>
            </w:pPr>
            <w:r>
              <w:rPr>
                <w:rFonts w:ascii="Times New Roman" w:hAnsi="Times New Roman" w:cs="Times New Roman"/>
                <w:sz w:val="24"/>
                <w:szCs w:val="24"/>
              </w:rPr>
              <w:t>Underweight</w:t>
            </w:r>
            <w:r w:rsidR="000B09E5" w:rsidRPr="000B09E5">
              <w:rPr>
                <w:rFonts w:ascii="Times New Roman" w:hAnsi="Times New Roman" w:cs="Times New Roman"/>
                <w:sz w:val="24"/>
                <w:szCs w:val="24"/>
                <w:vertAlign w:val="superscript"/>
              </w:rPr>
              <w:t>E</w:t>
            </w:r>
          </w:p>
          <w:p w:rsidR="003E2918" w:rsidRDefault="003E2918" w:rsidP="007E679C">
            <w:pPr>
              <w:rPr>
                <w:rFonts w:ascii="Times New Roman" w:hAnsi="Times New Roman" w:cs="Times New Roman"/>
                <w:sz w:val="24"/>
                <w:szCs w:val="24"/>
              </w:rPr>
            </w:pPr>
          </w:p>
        </w:tc>
        <w:tc>
          <w:tcPr>
            <w:tcW w:w="1257" w:type="dxa"/>
          </w:tcPr>
          <w:p w:rsidR="003E2918" w:rsidRPr="000B09E5" w:rsidRDefault="003E2918" w:rsidP="007E679C">
            <w:pPr>
              <w:rPr>
                <w:rFonts w:ascii="Times New Roman" w:hAnsi="Times New Roman" w:cs="Times New Roman"/>
                <w:sz w:val="24"/>
                <w:szCs w:val="24"/>
                <w:vertAlign w:val="superscript"/>
              </w:rPr>
            </w:pPr>
            <w:r>
              <w:rPr>
                <w:rFonts w:ascii="Times New Roman" w:hAnsi="Times New Roman" w:cs="Times New Roman"/>
                <w:sz w:val="24"/>
                <w:szCs w:val="24"/>
              </w:rPr>
              <w:t>Stunting</w:t>
            </w:r>
            <w:r w:rsidR="000B09E5">
              <w:rPr>
                <w:rFonts w:ascii="Times New Roman" w:hAnsi="Times New Roman" w:cs="Times New Roman"/>
                <w:sz w:val="24"/>
                <w:szCs w:val="24"/>
                <w:vertAlign w:val="superscript"/>
              </w:rPr>
              <w:t>D</w:t>
            </w:r>
          </w:p>
        </w:tc>
        <w:tc>
          <w:tcPr>
            <w:tcW w:w="1253" w:type="dxa"/>
          </w:tcPr>
          <w:p w:rsidR="003E2918" w:rsidRPr="000B09E5" w:rsidRDefault="003E2918" w:rsidP="007E679C">
            <w:pPr>
              <w:rPr>
                <w:rFonts w:ascii="Times New Roman" w:hAnsi="Times New Roman" w:cs="Times New Roman"/>
                <w:sz w:val="24"/>
                <w:szCs w:val="24"/>
                <w:vertAlign w:val="superscript"/>
              </w:rPr>
            </w:pPr>
            <w:r>
              <w:rPr>
                <w:rFonts w:ascii="Times New Roman" w:hAnsi="Times New Roman" w:cs="Times New Roman"/>
                <w:sz w:val="24"/>
                <w:szCs w:val="24"/>
              </w:rPr>
              <w:t>Wasting</w:t>
            </w:r>
            <w:r w:rsidR="000B09E5">
              <w:rPr>
                <w:rFonts w:ascii="Times New Roman" w:hAnsi="Times New Roman" w:cs="Times New Roman"/>
                <w:sz w:val="24"/>
                <w:szCs w:val="24"/>
                <w:vertAlign w:val="superscript"/>
              </w:rPr>
              <w:t>F</w:t>
            </w:r>
          </w:p>
        </w:tc>
        <w:tc>
          <w:tcPr>
            <w:tcW w:w="1498" w:type="dxa"/>
          </w:tcPr>
          <w:p w:rsidR="003E2918" w:rsidRPr="000B09E5" w:rsidRDefault="003E2918" w:rsidP="007E679C">
            <w:pPr>
              <w:rPr>
                <w:rFonts w:ascii="Times New Roman" w:hAnsi="Times New Roman" w:cs="Times New Roman"/>
                <w:sz w:val="24"/>
                <w:szCs w:val="24"/>
                <w:vertAlign w:val="superscript"/>
              </w:rPr>
            </w:pPr>
            <w:r>
              <w:rPr>
                <w:rFonts w:ascii="Times New Roman" w:hAnsi="Times New Roman" w:cs="Times New Roman"/>
                <w:sz w:val="24"/>
                <w:szCs w:val="24"/>
              </w:rPr>
              <w:t>Overweight</w:t>
            </w:r>
            <w:r w:rsidR="000B09E5">
              <w:rPr>
                <w:rFonts w:ascii="Times New Roman" w:hAnsi="Times New Roman" w:cs="Times New Roman"/>
                <w:sz w:val="24"/>
                <w:szCs w:val="24"/>
                <w:vertAlign w:val="superscript"/>
              </w:rPr>
              <w:t>B</w:t>
            </w:r>
          </w:p>
        </w:tc>
      </w:tr>
      <w:tr w:rsidR="003E2918" w:rsidTr="003E2918">
        <w:trPr>
          <w:trHeight w:val="301"/>
        </w:trPr>
        <w:tc>
          <w:tcPr>
            <w:tcW w:w="1268" w:type="dxa"/>
          </w:tcPr>
          <w:p w:rsidR="003E2918" w:rsidRDefault="003E2918" w:rsidP="007E679C">
            <w:pPr>
              <w:rPr>
                <w:rFonts w:ascii="Times New Roman" w:hAnsi="Times New Roman" w:cs="Times New Roman"/>
                <w:sz w:val="24"/>
                <w:szCs w:val="24"/>
              </w:rPr>
            </w:pPr>
            <w:r>
              <w:rPr>
                <w:rFonts w:ascii="Times New Roman" w:hAnsi="Times New Roman" w:cs="Times New Roman"/>
                <w:sz w:val="24"/>
                <w:szCs w:val="24"/>
              </w:rPr>
              <w:t>National</w:t>
            </w:r>
          </w:p>
        </w:tc>
        <w:tc>
          <w:tcPr>
            <w:tcW w:w="1228" w:type="dxa"/>
          </w:tcPr>
          <w:p w:rsidR="003E2918" w:rsidRDefault="000B09E5" w:rsidP="007E679C">
            <w:pPr>
              <w:rPr>
                <w:rFonts w:ascii="Times New Roman" w:hAnsi="Times New Roman" w:cs="Times New Roman"/>
                <w:sz w:val="24"/>
                <w:szCs w:val="24"/>
              </w:rPr>
            </w:pPr>
            <w:r>
              <w:rPr>
                <w:rFonts w:ascii="Times New Roman" w:hAnsi="Times New Roman" w:cs="Times New Roman"/>
                <w:sz w:val="24"/>
                <w:szCs w:val="24"/>
              </w:rPr>
              <w:t>1926</w:t>
            </w:r>
          </w:p>
        </w:tc>
        <w:tc>
          <w:tcPr>
            <w:tcW w:w="1229" w:type="dxa"/>
          </w:tcPr>
          <w:p w:rsidR="003E2918" w:rsidRDefault="000B09E5" w:rsidP="007E679C">
            <w:pPr>
              <w:rPr>
                <w:rFonts w:ascii="Times New Roman" w:hAnsi="Times New Roman" w:cs="Times New Roman"/>
                <w:sz w:val="24"/>
                <w:szCs w:val="24"/>
              </w:rPr>
            </w:pPr>
            <w:r>
              <w:rPr>
                <w:rFonts w:ascii="Times New Roman" w:hAnsi="Times New Roman" w:cs="Times New Roman"/>
                <w:sz w:val="24"/>
                <w:szCs w:val="24"/>
              </w:rPr>
              <w:t>M</w:t>
            </w:r>
          </w:p>
        </w:tc>
        <w:tc>
          <w:tcPr>
            <w:tcW w:w="1631" w:type="dxa"/>
          </w:tcPr>
          <w:p w:rsidR="003E2918" w:rsidRDefault="003E2918" w:rsidP="007E679C">
            <w:pPr>
              <w:rPr>
                <w:rFonts w:ascii="Times New Roman" w:hAnsi="Times New Roman" w:cs="Times New Roman"/>
                <w:sz w:val="24"/>
                <w:szCs w:val="24"/>
              </w:rPr>
            </w:pPr>
            <w:r>
              <w:rPr>
                <w:rFonts w:ascii="Times New Roman" w:hAnsi="Times New Roman" w:cs="Times New Roman"/>
                <w:sz w:val="24"/>
                <w:szCs w:val="24"/>
              </w:rPr>
              <w:t>5.9%</w:t>
            </w:r>
          </w:p>
        </w:tc>
        <w:tc>
          <w:tcPr>
            <w:tcW w:w="1257" w:type="dxa"/>
          </w:tcPr>
          <w:p w:rsidR="003E2918" w:rsidRDefault="003E2918" w:rsidP="007E679C">
            <w:pPr>
              <w:rPr>
                <w:rFonts w:ascii="Times New Roman" w:hAnsi="Times New Roman" w:cs="Times New Roman"/>
                <w:sz w:val="24"/>
                <w:szCs w:val="24"/>
              </w:rPr>
            </w:pPr>
            <w:r>
              <w:rPr>
                <w:rFonts w:ascii="Times New Roman" w:hAnsi="Times New Roman" w:cs="Times New Roman"/>
                <w:sz w:val="24"/>
                <w:szCs w:val="24"/>
              </w:rPr>
              <w:t>11.5</w:t>
            </w:r>
            <w:r w:rsidR="000B09E5">
              <w:rPr>
                <w:rFonts w:ascii="Times New Roman" w:hAnsi="Times New Roman" w:cs="Times New Roman"/>
                <w:sz w:val="24"/>
                <w:szCs w:val="24"/>
              </w:rPr>
              <w:t>%</w:t>
            </w:r>
          </w:p>
        </w:tc>
        <w:tc>
          <w:tcPr>
            <w:tcW w:w="1253" w:type="dxa"/>
          </w:tcPr>
          <w:p w:rsidR="003E2918" w:rsidRDefault="000B09E5" w:rsidP="007E679C">
            <w:pPr>
              <w:rPr>
                <w:rFonts w:ascii="Times New Roman" w:hAnsi="Times New Roman" w:cs="Times New Roman"/>
                <w:sz w:val="24"/>
                <w:szCs w:val="24"/>
              </w:rPr>
            </w:pPr>
            <w:r>
              <w:rPr>
                <w:rFonts w:ascii="Times New Roman" w:hAnsi="Times New Roman" w:cs="Times New Roman"/>
                <w:sz w:val="24"/>
                <w:szCs w:val="24"/>
              </w:rPr>
              <w:t>2.3%</w:t>
            </w:r>
          </w:p>
        </w:tc>
        <w:tc>
          <w:tcPr>
            <w:tcW w:w="1498" w:type="dxa"/>
          </w:tcPr>
          <w:p w:rsidR="003E2918" w:rsidRDefault="000B09E5" w:rsidP="007E679C">
            <w:pPr>
              <w:rPr>
                <w:rFonts w:ascii="Times New Roman" w:hAnsi="Times New Roman" w:cs="Times New Roman"/>
                <w:sz w:val="24"/>
                <w:szCs w:val="24"/>
              </w:rPr>
            </w:pPr>
            <w:r>
              <w:rPr>
                <w:rFonts w:ascii="Times New Roman" w:hAnsi="Times New Roman" w:cs="Times New Roman"/>
                <w:sz w:val="24"/>
                <w:szCs w:val="24"/>
              </w:rPr>
              <w:t>4.7%</w:t>
            </w:r>
          </w:p>
        </w:tc>
      </w:tr>
      <w:tr w:rsidR="003E2918" w:rsidTr="003E2918">
        <w:trPr>
          <w:trHeight w:val="301"/>
        </w:trPr>
        <w:tc>
          <w:tcPr>
            <w:tcW w:w="1268" w:type="dxa"/>
          </w:tcPr>
          <w:p w:rsidR="003E2918" w:rsidRDefault="000B09E5" w:rsidP="007E679C">
            <w:pPr>
              <w:rPr>
                <w:rFonts w:ascii="Times New Roman" w:hAnsi="Times New Roman" w:cs="Times New Roman"/>
                <w:sz w:val="24"/>
                <w:szCs w:val="24"/>
              </w:rPr>
            </w:pPr>
            <w:r>
              <w:rPr>
                <w:rFonts w:ascii="Times New Roman" w:hAnsi="Times New Roman" w:cs="Times New Roman"/>
                <w:sz w:val="24"/>
                <w:szCs w:val="24"/>
              </w:rPr>
              <w:t>National</w:t>
            </w:r>
          </w:p>
        </w:tc>
        <w:tc>
          <w:tcPr>
            <w:tcW w:w="1228" w:type="dxa"/>
          </w:tcPr>
          <w:p w:rsidR="003E2918" w:rsidRDefault="000B09E5" w:rsidP="007E679C">
            <w:pPr>
              <w:rPr>
                <w:rFonts w:ascii="Times New Roman" w:hAnsi="Times New Roman" w:cs="Times New Roman"/>
                <w:sz w:val="24"/>
                <w:szCs w:val="24"/>
              </w:rPr>
            </w:pPr>
            <w:r>
              <w:rPr>
                <w:rFonts w:ascii="Times New Roman" w:hAnsi="Times New Roman" w:cs="Times New Roman"/>
                <w:sz w:val="24"/>
                <w:szCs w:val="24"/>
              </w:rPr>
              <w:t>1890</w:t>
            </w:r>
          </w:p>
        </w:tc>
        <w:tc>
          <w:tcPr>
            <w:tcW w:w="1229" w:type="dxa"/>
          </w:tcPr>
          <w:p w:rsidR="003E2918" w:rsidRDefault="000B09E5" w:rsidP="007E679C">
            <w:pPr>
              <w:rPr>
                <w:rFonts w:ascii="Times New Roman" w:hAnsi="Times New Roman" w:cs="Times New Roman"/>
                <w:sz w:val="24"/>
                <w:szCs w:val="24"/>
              </w:rPr>
            </w:pPr>
            <w:r>
              <w:rPr>
                <w:rFonts w:ascii="Times New Roman" w:hAnsi="Times New Roman" w:cs="Times New Roman"/>
                <w:sz w:val="24"/>
                <w:szCs w:val="24"/>
              </w:rPr>
              <w:t>F</w:t>
            </w:r>
          </w:p>
        </w:tc>
        <w:tc>
          <w:tcPr>
            <w:tcW w:w="1631" w:type="dxa"/>
          </w:tcPr>
          <w:p w:rsidR="003E2918" w:rsidRDefault="000B09E5" w:rsidP="007E679C">
            <w:pPr>
              <w:rPr>
                <w:rFonts w:ascii="Times New Roman" w:hAnsi="Times New Roman" w:cs="Times New Roman"/>
                <w:sz w:val="24"/>
                <w:szCs w:val="24"/>
              </w:rPr>
            </w:pPr>
            <w:r>
              <w:rPr>
                <w:rFonts w:ascii="Times New Roman" w:hAnsi="Times New Roman" w:cs="Times New Roman"/>
                <w:sz w:val="24"/>
                <w:szCs w:val="24"/>
              </w:rPr>
              <w:t>5.4%</w:t>
            </w:r>
          </w:p>
        </w:tc>
        <w:tc>
          <w:tcPr>
            <w:tcW w:w="1257" w:type="dxa"/>
          </w:tcPr>
          <w:p w:rsidR="003E2918" w:rsidRDefault="000B09E5" w:rsidP="007E679C">
            <w:pPr>
              <w:rPr>
                <w:rFonts w:ascii="Times New Roman" w:hAnsi="Times New Roman" w:cs="Times New Roman"/>
                <w:sz w:val="24"/>
                <w:szCs w:val="24"/>
              </w:rPr>
            </w:pPr>
            <w:r>
              <w:rPr>
                <w:rFonts w:ascii="Times New Roman" w:hAnsi="Times New Roman" w:cs="Times New Roman"/>
                <w:sz w:val="24"/>
                <w:szCs w:val="24"/>
              </w:rPr>
              <w:t>9.4%</w:t>
            </w:r>
          </w:p>
        </w:tc>
        <w:tc>
          <w:tcPr>
            <w:tcW w:w="1253" w:type="dxa"/>
          </w:tcPr>
          <w:p w:rsidR="003E2918" w:rsidRDefault="000B09E5" w:rsidP="007E679C">
            <w:pPr>
              <w:rPr>
                <w:rFonts w:ascii="Times New Roman" w:hAnsi="Times New Roman" w:cs="Times New Roman"/>
                <w:sz w:val="24"/>
                <w:szCs w:val="24"/>
              </w:rPr>
            </w:pPr>
            <w:r>
              <w:rPr>
                <w:rFonts w:ascii="Times New Roman" w:hAnsi="Times New Roman" w:cs="Times New Roman"/>
                <w:sz w:val="24"/>
                <w:szCs w:val="24"/>
              </w:rPr>
              <w:t>2.4%</w:t>
            </w:r>
          </w:p>
        </w:tc>
        <w:tc>
          <w:tcPr>
            <w:tcW w:w="1498" w:type="dxa"/>
          </w:tcPr>
          <w:p w:rsidR="003E2918" w:rsidRDefault="000B09E5" w:rsidP="007E679C">
            <w:pPr>
              <w:rPr>
                <w:rFonts w:ascii="Times New Roman" w:hAnsi="Times New Roman" w:cs="Times New Roman"/>
                <w:sz w:val="24"/>
                <w:szCs w:val="24"/>
              </w:rPr>
            </w:pPr>
            <w:r>
              <w:rPr>
                <w:rFonts w:ascii="Times New Roman" w:hAnsi="Times New Roman" w:cs="Times New Roman"/>
                <w:sz w:val="24"/>
                <w:szCs w:val="24"/>
              </w:rPr>
              <w:t>5.1%</w:t>
            </w:r>
          </w:p>
        </w:tc>
      </w:tr>
      <w:tr w:rsidR="000B09E5" w:rsidTr="003E2918">
        <w:trPr>
          <w:trHeight w:val="301"/>
        </w:trPr>
        <w:tc>
          <w:tcPr>
            <w:tcW w:w="1268"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 xml:space="preserve">Urban </w:t>
            </w:r>
          </w:p>
        </w:tc>
        <w:tc>
          <w:tcPr>
            <w:tcW w:w="1228"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2903</w:t>
            </w:r>
          </w:p>
        </w:tc>
        <w:tc>
          <w:tcPr>
            <w:tcW w:w="1229"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M/F</w:t>
            </w:r>
          </w:p>
        </w:tc>
        <w:tc>
          <w:tcPr>
            <w:tcW w:w="1631"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4.6%</w:t>
            </w:r>
          </w:p>
        </w:tc>
        <w:tc>
          <w:tcPr>
            <w:tcW w:w="1257"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7.8%</w:t>
            </w:r>
          </w:p>
        </w:tc>
        <w:tc>
          <w:tcPr>
            <w:tcW w:w="1253"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2.3%</w:t>
            </w:r>
          </w:p>
        </w:tc>
        <w:tc>
          <w:tcPr>
            <w:tcW w:w="1498"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5.0%</w:t>
            </w:r>
          </w:p>
        </w:tc>
      </w:tr>
      <w:tr w:rsidR="000B09E5" w:rsidTr="000B09E5">
        <w:trPr>
          <w:trHeight w:val="301"/>
        </w:trPr>
        <w:tc>
          <w:tcPr>
            <w:tcW w:w="1268" w:type="dxa"/>
            <w:tcBorders>
              <w:bottom w:val="double" w:sz="4" w:space="0" w:color="auto"/>
            </w:tcBorders>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Rural</w:t>
            </w:r>
          </w:p>
        </w:tc>
        <w:tc>
          <w:tcPr>
            <w:tcW w:w="1228" w:type="dxa"/>
            <w:tcBorders>
              <w:bottom w:val="double" w:sz="4" w:space="0" w:color="auto"/>
            </w:tcBorders>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912</w:t>
            </w:r>
          </w:p>
        </w:tc>
        <w:tc>
          <w:tcPr>
            <w:tcW w:w="1229" w:type="dxa"/>
            <w:tcBorders>
              <w:bottom w:val="double" w:sz="4" w:space="0" w:color="auto"/>
            </w:tcBorders>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M/F</w:t>
            </w:r>
          </w:p>
        </w:tc>
        <w:tc>
          <w:tcPr>
            <w:tcW w:w="1631" w:type="dxa"/>
            <w:tcBorders>
              <w:bottom w:val="double" w:sz="4" w:space="0" w:color="auto"/>
            </w:tcBorders>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9.2%</w:t>
            </w:r>
          </w:p>
        </w:tc>
        <w:tc>
          <w:tcPr>
            <w:tcW w:w="1257" w:type="dxa"/>
            <w:tcBorders>
              <w:bottom w:val="double" w:sz="4" w:space="0" w:color="auto"/>
            </w:tcBorders>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19.0%</w:t>
            </w:r>
          </w:p>
        </w:tc>
        <w:tc>
          <w:tcPr>
            <w:tcW w:w="1253" w:type="dxa"/>
            <w:tcBorders>
              <w:bottom w:val="double" w:sz="4" w:space="0" w:color="auto"/>
            </w:tcBorders>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2.6%</w:t>
            </w:r>
          </w:p>
        </w:tc>
        <w:tc>
          <w:tcPr>
            <w:tcW w:w="1498" w:type="dxa"/>
            <w:tcBorders>
              <w:bottom w:val="double" w:sz="4" w:space="0" w:color="auto"/>
            </w:tcBorders>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4.7%</w:t>
            </w:r>
          </w:p>
        </w:tc>
      </w:tr>
      <w:tr w:rsidR="000B09E5" w:rsidTr="000B09E5">
        <w:trPr>
          <w:trHeight w:val="301"/>
        </w:trPr>
        <w:tc>
          <w:tcPr>
            <w:tcW w:w="1268" w:type="dxa"/>
            <w:tcBorders>
              <w:top w:val="double" w:sz="4" w:space="0" w:color="auto"/>
            </w:tcBorders>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Centereast</w:t>
            </w:r>
          </w:p>
        </w:tc>
        <w:tc>
          <w:tcPr>
            <w:tcW w:w="1228" w:type="dxa"/>
            <w:tcBorders>
              <w:top w:val="double" w:sz="4" w:space="0" w:color="auto"/>
            </w:tcBorders>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478</w:t>
            </w:r>
          </w:p>
        </w:tc>
        <w:tc>
          <w:tcPr>
            <w:tcW w:w="1229" w:type="dxa"/>
            <w:tcBorders>
              <w:top w:val="double" w:sz="4" w:space="0" w:color="auto"/>
            </w:tcBorders>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M/F</w:t>
            </w:r>
          </w:p>
        </w:tc>
        <w:tc>
          <w:tcPr>
            <w:tcW w:w="1631" w:type="dxa"/>
            <w:tcBorders>
              <w:top w:val="double" w:sz="4" w:space="0" w:color="auto"/>
            </w:tcBorders>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5.5%</w:t>
            </w:r>
          </w:p>
        </w:tc>
        <w:tc>
          <w:tcPr>
            <w:tcW w:w="1257" w:type="dxa"/>
            <w:tcBorders>
              <w:top w:val="double" w:sz="4" w:space="0" w:color="auto"/>
            </w:tcBorders>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5.3%</w:t>
            </w:r>
          </w:p>
        </w:tc>
        <w:tc>
          <w:tcPr>
            <w:tcW w:w="1253" w:type="dxa"/>
            <w:tcBorders>
              <w:top w:val="double" w:sz="4" w:space="0" w:color="auto"/>
            </w:tcBorders>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2.5%</w:t>
            </w:r>
          </w:p>
        </w:tc>
        <w:tc>
          <w:tcPr>
            <w:tcW w:w="1498" w:type="dxa"/>
            <w:tcBorders>
              <w:top w:val="double" w:sz="4" w:space="0" w:color="auto"/>
            </w:tcBorders>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5.6%</w:t>
            </w:r>
          </w:p>
        </w:tc>
      </w:tr>
      <w:tr w:rsidR="000B09E5" w:rsidTr="003E2918">
        <w:trPr>
          <w:trHeight w:val="301"/>
        </w:trPr>
        <w:tc>
          <w:tcPr>
            <w:tcW w:w="1268"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Centerwest</w:t>
            </w:r>
          </w:p>
        </w:tc>
        <w:tc>
          <w:tcPr>
            <w:tcW w:w="1228"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260</w:t>
            </w:r>
          </w:p>
        </w:tc>
        <w:tc>
          <w:tcPr>
            <w:tcW w:w="1229"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M/F</w:t>
            </w:r>
          </w:p>
        </w:tc>
        <w:tc>
          <w:tcPr>
            <w:tcW w:w="1631"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3.0%</w:t>
            </w:r>
          </w:p>
        </w:tc>
        <w:tc>
          <w:tcPr>
            <w:tcW w:w="1257"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8.2%</w:t>
            </w:r>
          </w:p>
        </w:tc>
        <w:tc>
          <w:tcPr>
            <w:tcW w:w="1253"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2.9%</w:t>
            </w:r>
          </w:p>
        </w:tc>
        <w:tc>
          <w:tcPr>
            <w:tcW w:w="1498"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2.7%</w:t>
            </w:r>
          </w:p>
        </w:tc>
      </w:tr>
      <w:tr w:rsidR="000B09E5" w:rsidTr="003E2918">
        <w:trPr>
          <w:trHeight w:val="301"/>
        </w:trPr>
        <w:tc>
          <w:tcPr>
            <w:tcW w:w="1268"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Northeast</w:t>
            </w:r>
          </w:p>
        </w:tc>
        <w:tc>
          <w:tcPr>
            <w:tcW w:w="1228"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1329</w:t>
            </w:r>
          </w:p>
        </w:tc>
        <w:tc>
          <w:tcPr>
            <w:tcW w:w="1229"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M/F</w:t>
            </w:r>
          </w:p>
        </w:tc>
        <w:tc>
          <w:tcPr>
            <w:tcW w:w="1631"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8.3%</w:t>
            </w:r>
          </w:p>
        </w:tc>
        <w:tc>
          <w:tcPr>
            <w:tcW w:w="1257"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17.9%</w:t>
            </w:r>
          </w:p>
        </w:tc>
        <w:tc>
          <w:tcPr>
            <w:tcW w:w="1253"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2.8%</w:t>
            </w:r>
          </w:p>
        </w:tc>
        <w:tc>
          <w:tcPr>
            <w:tcW w:w="1498"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4.5%</w:t>
            </w:r>
          </w:p>
        </w:tc>
      </w:tr>
      <w:tr w:rsidR="000B09E5" w:rsidTr="003E2918">
        <w:trPr>
          <w:trHeight w:val="301"/>
        </w:trPr>
        <w:tc>
          <w:tcPr>
            <w:tcW w:w="1268"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Northwest</w:t>
            </w:r>
          </w:p>
        </w:tc>
        <w:tc>
          <w:tcPr>
            <w:tcW w:w="1228"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212</w:t>
            </w:r>
          </w:p>
        </w:tc>
        <w:tc>
          <w:tcPr>
            <w:tcW w:w="1229"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M/F</w:t>
            </w:r>
          </w:p>
        </w:tc>
        <w:tc>
          <w:tcPr>
            <w:tcW w:w="1631"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7.7%</w:t>
            </w:r>
          </w:p>
        </w:tc>
        <w:tc>
          <w:tcPr>
            <w:tcW w:w="1257"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16.2%</w:t>
            </w:r>
          </w:p>
        </w:tc>
        <w:tc>
          <w:tcPr>
            <w:tcW w:w="1253"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1.2%</w:t>
            </w:r>
          </w:p>
        </w:tc>
        <w:tc>
          <w:tcPr>
            <w:tcW w:w="1498"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4.5%</w:t>
            </w:r>
          </w:p>
        </w:tc>
      </w:tr>
      <w:tr w:rsidR="000B09E5" w:rsidTr="003E2918">
        <w:trPr>
          <w:trHeight w:val="301"/>
        </w:trPr>
        <w:tc>
          <w:tcPr>
            <w:tcW w:w="1268"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Rio de Janeiro</w:t>
            </w:r>
          </w:p>
        </w:tc>
        <w:tc>
          <w:tcPr>
            <w:tcW w:w="1228"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315</w:t>
            </w:r>
          </w:p>
        </w:tc>
        <w:tc>
          <w:tcPr>
            <w:tcW w:w="1229"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M/F</w:t>
            </w:r>
          </w:p>
        </w:tc>
        <w:tc>
          <w:tcPr>
            <w:tcW w:w="1631"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3.8%</w:t>
            </w:r>
          </w:p>
        </w:tc>
        <w:tc>
          <w:tcPr>
            <w:tcW w:w="1257"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2.9%</w:t>
            </w:r>
          </w:p>
        </w:tc>
        <w:tc>
          <w:tcPr>
            <w:tcW w:w="1253"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4.8%</w:t>
            </w:r>
          </w:p>
        </w:tc>
        <w:tc>
          <w:tcPr>
            <w:tcW w:w="1498"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6.7%</w:t>
            </w:r>
          </w:p>
        </w:tc>
      </w:tr>
      <w:tr w:rsidR="000B09E5" w:rsidTr="003E2918">
        <w:trPr>
          <w:trHeight w:val="301"/>
        </w:trPr>
        <w:tc>
          <w:tcPr>
            <w:tcW w:w="1268"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São Paulo</w:t>
            </w:r>
          </w:p>
        </w:tc>
        <w:tc>
          <w:tcPr>
            <w:tcW w:w="1228"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718</w:t>
            </w:r>
          </w:p>
        </w:tc>
        <w:tc>
          <w:tcPr>
            <w:tcW w:w="1229"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M/F</w:t>
            </w:r>
          </w:p>
        </w:tc>
        <w:tc>
          <w:tcPr>
            <w:tcW w:w="1631"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4.7%</w:t>
            </w:r>
          </w:p>
        </w:tc>
        <w:tc>
          <w:tcPr>
            <w:tcW w:w="1257"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6.3%</w:t>
            </w:r>
          </w:p>
        </w:tc>
        <w:tc>
          <w:tcPr>
            <w:tcW w:w="1253"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1.4%</w:t>
            </w:r>
          </w:p>
        </w:tc>
        <w:tc>
          <w:tcPr>
            <w:tcW w:w="1498"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5.5%</w:t>
            </w:r>
          </w:p>
        </w:tc>
      </w:tr>
      <w:tr w:rsidR="000B09E5" w:rsidTr="003E2918">
        <w:trPr>
          <w:trHeight w:val="301"/>
        </w:trPr>
        <w:tc>
          <w:tcPr>
            <w:tcW w:w="1268"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South</w:t>
            </w:r>
          </w:p>
        </w:tc>
        <w:tc>
          <w:tcPr>
            <w:tcW w:w="1228"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503</w:t>
            </w:r>
          </w:p>
        </w:tc>
        <w:tc>
          <w:tcPr>
            <w:tcW w:w="1229"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M/F</w:t>
            </w:r>
          </w:p>
        </w:tc>
        <w:tc>
          <w:tcPr>
            <w:tcW w:w="1631"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2.0%</w:t>
            </w:r>
          </w:p>
        </w:tc>
        <w:tc>
          <w:tcPr>
            <w:tcW w:w="1257"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5.1%</w:t>
            </w:r>
          </w:p>
        </w:tc>
        <w:tc>
          <w:tcPr>
            <w:tcW w:w="1253"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0.9%</w:t>
            </w:r>
          </w:p>
        </w:tc>
        <w:tc>
          <w:tcPr>
            <w:tcW w:w="1498" w:type="dxa"/>
          </w:tcPr>
          <w:p w:rsidR="000B09E5" w:rsidRDefault="000B09E5" w:rsidP="007E679C">
            <w:pPr>
              <w:rPr>
                <w:rFonts w:ascii="Times New Roman" w:hAnsi="Times New Roman" w:cs="Times New Roman"/>
                <w:sz w:val="24"/>
                <w:szCs w:val="24"/>
              </w:rPr>
            </w:pPr>
            <w:r>
              <w:rPr>
                <w:rFonts w:ascii="Times New Roman" w:hAnsi="Times New Roman" w:cs="Times New Roman"/>
                <w:sz w:val="24"/>
                <w:szCs w:val="24"/>
              </w:rPr>
              <w:t>4.7%</w:t>
            </w:r>
          </w:p>
        </w:tc>
      </w:tr>
    </w:tbl>
    <w:p w:rsidR="00B654AD" w:rsidRDefault="000B09E5" w:rsidP="007E679C">
      <w:pPr>
        <w:rPr>
          <w:rFonts w:ascii="Times New Roman" w:hAnsi="Times New Roman" w:cs="Times New Roman"/>
          <w:sz w:val="24"/>
          <w:szCs w:val="24"/>
        </w:rPr>
      </w:pPr>
      <w:r>
        <w:rPr>
          <w:rFonts w:ascii="Times New Roman" w:hAnsi="Times New Roman" w:cs="Times New Roman"/>
          <w:sz w:val="24"/>
          <w:szCs w:val="24"/>
        </w:rPr>
        <w:t>Source: FAO</w:t>
      </w:r>
      <w:r>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"id" : "ITEM-1", "issued" : { "date-parts" : [ [ "2000" ] ] }, "publisher-place" : "Rome, Italy", "title" : "FAO - Nutrition Country Profiles: Brazil", "type" : "report" }, "uris" : [ "http://www.mendeley.com/documents/?uuid=2d681cd3-8702-464d-8001-33ad7afa6881" ] } ], "mendeley" : { "formattedCitation" : "&lt;sup&gt;10&lt;/sup&gt;", "plainTextFormattedCitation" : "10", "previouslyFormattedCitation" : "&lt;sup&gt;9&lt;/sup&gt;" }, "properties" : { "noteIndex" : 0 }, "schema" : "https://github.com/citation-style-language/schema/raw/master/csl-citation.json" }</w:instrText>
      </w:r>
      <w:r>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10</w:t>
      </w:r>
      <w:r>
        <w:rPr>
          <w:rFonts w:ascii="Times New Roman" w:hAnsi="Times New Roman" w:cs="Times New Roman"/>
          <w:sz w:val="24"/>
          <w:szCs w:val="24"/>
        </w:rPr>
        <w:fldChar w:fldCharType="end"/>
      </w:r>
    </w:p>
    <w:p w:rsidR="009414EB" w:rsidRDefault="009414EB" w:rsidP="007E679C">
      <w:pPr>
        <w:rPr>
          <w:rFonts w:ascii="Times New Roman" w:hAnsi="Times New Roman" w:cs="Times New Roman"/>
          <w:sz w:val="24"/>
          <w:szCs w:val="24"/>
        </w:rPr>
      </w:pPr>
    </w:p>
    <w:p w:rsidR="009414EB" w:rsidRDefault="009414EB" w:rsidP="007E679C">
      <w:pPr>
        <w:rPr>
          <w:rFonts w:ascii="Times New Roman" w:hAnsi="Times New Roman" w:cs="Times New Roman"/>
          <w:sz w:val="24"/>
          <w:szCs w:val="24"/>
        </w:rPr>
      </w:pPr>
    </w:p>
    <w:p w:rsidR="009414EB" w:rsidRDefault="009414EB" w:rsidP="007E679C">
      <w:pPr>
        <w:rPr>
          <w:rFonts w:ascii="Times New Roman" w:hAnsi="Times New Roman" w:cs="Times New Roman"/>
          <w:sz w:val="24"/>
          <w:szCs w:val="24"/>
        </w:rPr>
      </w:pPr>
    </w:p>
    <w:p w:rsidR="009414EB" w:rsidRDefault="009414EB" w:rsidP="007E679C">
      <w:pPr>
        <w:rPr>
          <w:rFonts w:ascii="Times New Roman" w:hAnsi="Times New Roman" w:cs="Times New Roman"/>
          <w:sz w:val="24"/>
          <w:szCs w:val="24"/>
        </w:rPr>
      </w:pPr>
    </w:p>
    <w:p w:rsidR="00AA41B6" w:rsidRDefault="000B09E5" w:rsidP="007E679C">
      <w:pPr>
        <w:rPr>
          <w:rFonts w:ascii="Times New Roman" w:hAnsi="Times New Roman" w:cs="Times New Roman"/>
          <w:sz w:val="24"/>
          <w:szCs w:val="24"/>
        </w:rPr>
      </w:pPr>
      <w:r>
        <w:rPr>
          <w:rFonts w:ascii="Times New Roman" w:hAnsi="Times New Roman" w:cs="Times New Roman"/>
          <w:sz w:val="24"/>
          <w:szCs w:val="24"/>
        </w:rPr>
        <w:lastRenderedPageBreak/>
        <w:t>Table 1.2</w:t>
      </w:r>
    </w:p>
    <w:p w:rsidR="00AA41B6" w:rsidRDefault="00774EC6" w:rsidP="007E679C">
      <w:pPr>
        <w:rPr>
          <w:rFonts w:ascii="Times New Roman" w:hAnsi="Times New Roman" w:cs="Times New Roman"/>
          <w:sz w:val="24"/>
          <w:szCs w:val="24"/>
        </w:rPr>
      </w:pPr>
      <w:r>
        <w:rPr>
          <w:rFonts w:ascii="Times New Roman" w:hAnsi="Times New Roman" w:cs="Times New Roman"/>
          <w:sz w:val="24"/>
          <w:szCs w:val="24"/>
        </w:rPr>
        <w:t>National p</w:t>
      </w:r>
      <w:r w:rsidR="00AA41B6">
        <w:rPr>
          <w:rFonts w:ascii="Times New Roman" w:hAnsi="Times New Roman" w:cs="Times New Roman"/>
          <w:sz w:val="24"/>
          <w:szCs w:val="24"/>
        </w:rPr>
        <w:t xml:space="preserve">revalence of anemia among </w:t>
      </w:r>
      <w:r w:rsidR="003E2918">
        <w:rPr>
          <w:rFonts w:ascii="Times New Roman" w:hAnsi="Times New Roman" w:cs="Times New Roman"/>
          <w:sz w:val="24"/>
          <w:szCs w:val="24"/>
        </w:rPr>
        <w:t xml:space="preserve">different age groups </w:t>
      </w:r>
    </w:p>
    <w:tbl>
      <w:tblPr>
        <w:tblStyle w:val="TableGrid"/>
        <w:tblW w:w="0" w:type="auto"/>
        <w:tblLook w:val="04A0" w:firstRow="1" w:lastRow="0" w:firstColumn="1" w:lastColumn="0" w:noHBand="0" w:noVBand="1"/>
      </w:tblPr>
      <w:tblGrid>
        <w:gridCol w:w="2237"/>
        <w:gridCol w:w="2329"/>
        <w:gridCol w:w="2392"/>
        <w:gridCol w:w="2392"/>
      </w:tblGrid>
      <w:tr w:rsidR="008D44A4" w:rsidTr="000B09E5">
        <w:tc>
          <w:tcPr>
            <w:tcW w:w="3084" w:type="dxa"/>
            <w:vAlign w:val="center"/>
          </w:tcPr>
          <w:p w:rsidR="008D44A4" w:rsidRDefault="008D44A4" w:rsidP="000B09E5">
            <w:pPr>
              <w:jc w:val="center"/>
            </w:pPr>
          </w:p>
        </w:tc>
        <w:tc>
          <w:tcPr>
            <w:tcW w:w="3288" w:type="dxa"/>
            <w:vAlign w:val="center"/>
          </w:tcPr>
          <w:p w:rsidR="008D44A4" w:rsidRDefault="008D44A4" w:rsidP="000B09E5">
            <w:pPr>
              <w:jc w:val="center"/>
            </w:pPr>
            <w:r>
              <w:t>Ages 0-5 (both sexes)</w:t>
            </w:r>
          </w:p>
          <w:p w:rsidR="008D44A4" w:rsidRDefault="008D44A4" w:rsidP="000B09E5">
            <w:pPr>
              <w:jc w:val="center"/>
            </w:pPr>
            <w:r>
              <w:t>Anemia (Hb &lt; 110 g/L)</w:t>
            </w:r>
          </w:p>
        </w:tc>
        <w:tc>
          <w:tcPr>
            <w:tcW w:w="3289" w:type="dxa"/>
            <w:vAlign w:val="center"/>
          </w:tcPr>
          <w:p w:rsidR="008D44A4" w:rsidRDefault="008D44A4" w:rsidP="000B09E5">
            <w:pPr>
              <w:jc w:val="center"/>
            </w:pPr>
            <w:r>
              <w:t>Ages 15-19</w:t>
            </w:r>
            <w:r w:rsidR="00680803">
              <w:t xml:space="preserve"> (females)</w:t>
            </w:r>
          </w:p>
          <w:p w:rsidR="008D44A4" w:rsidRDefault="008D44A4" w:rsidP="000B09E5">
            <w:pPr>
              <w:jc w:val="center"/>
            </w:pPr>
            <w:r>
              <w:t>Anemia (Hb &lt; 120 g/L)</w:t>
            </w:r>
          </w:p>
        </w:tc>
        <w:tc>
          <w:tcPr>
            <w:tcW w:w="3289" w:type="dxa"/>
            <w:vAlign w:val="center"/>
          </w:tcPr>
          <w:p w:rsidR="008D44A4" w:rsidRDefault="008D44A4" w:rsidP="000B09E5">
            <w:pPr>
              <w:jc w:val="center"/>
            </w:pPr>
            <w:r>
              <w:t>Ages &gt;/= 20</w:t>
            </w:r>
            <w:r w:rsidR="00680803">
              <w:t xml:space="preserve"> (females)</w:t>
            </w:r>
          </w:p>
          <w:p w:rsidR="008D44A4" w:rsidRDefault="008D44A4" w:rsidP="000B09E5">
            <w:pPr>
              <w:jc w:val="center"/>
            </w:pPr>
            <w:r>
              <w:t>Anemia (Hb &lt; 120 g/L)</w:t>
            </w:r>
          </w:p>
        </w:tc>
      </w:tr>
      <w:tr w:rsidR="008D44A4" w:rsidTr="000B09E5">
        <w:tc>
          <w:tcPr>
            <w:tcW w:w="3084" w:type="dxa"/>
            <w:vAlign w:val="center"/>
          </w:tcPr>
          <w:p w:rsidR="008D44A4" w:rsidRDefault="008D44A4" w:rsidP="000B09E5">
            <w:pPr>
              <w:jc w:val="center"/>
            </w:pPr>
            <w:r>
              <w:t>National</w:t>
            </w:r>
          </w:p>
          <w:p w:rsidR="008D44A4" w:rsidRPr="009B54FA" w:rsidRDefault="008D44A4" w:rsidP="000B09E5">
            <w:pPr>
              <w:jc w:val="center"/>
              <w:rPr>
                <w:b/>
              </w:rPr>
            </w:pPr>
            <w:r>
              <w:t>2006 – 2007 (n = 20,395)</w:t>
            </w:r>
          </w:p>
        </w:tc>
        <w:tc>
          <w:tcPr>
            <w:tcW w:w="3288" w:type="dxa"/>
            <w:vAlign w:val="center"/>
          </w:tcPr>
          <w:p w:rsidR="008D44A4" w:rsidRDefault="008D44A4" w:rsidP="000B09E5">
            <w:pPr>
              <w:jc w:val="center"/>
            </w:pPr>
            <w:r w:rsidRPr="009B54FA">
              <w:rPr>
                <w:b/>
              </w:rPr>
              <w:t>21.8%</w:t>
            </w:r>
            <w:r>
              <w:t xml:space="preserve"> 95% CI: (18.6, 24.9)</w:t>
            </w:r>
          </w:p>
        </w:tc>
        <w:tc>
          <w:tcPr>
            <w:tcW w:w="3289" w:type="dxa"/>
            <w:vAlign w:val="center"/>
          </w:tcPr>
          <w:p w:rsidR="008D44A4" w:rsidRDefault="008D44A4" w:rsidP="000B09E5">
            <w:pPr>
              <w:jc w:val="center"/>
            </w:pPr>
            <w:r w:rsidRPr="009B54FA">
              <w:rPr>
                <w:b/>
              </w:rPr>
              <w:t>37.3%</w:t>
            </w:r>
            <w:r>
              <w:t xml:space="preserve"> 95% CI: (31.3, 43.3)</w:t>
            </w:r>
          </w:p>
        </w:tc>
        <w:tc>
          <w:tcPr>
            <w:tcW w:w="3289" w:type="dxa"/>
            <w:vAlign w:val="center"/>
          </w:tcPr>
          <w:p w:rsidR="008D44A4" w:rsidRDefault="008D44A4" w:rsidP="000B09E5">
            <w:pPr>
              <w:jc w:val="center"/>
            </w:pPr>
            <w:r w:rsidRPr="009B54FA">
              <w:rPr>
                <w:b/>
              </w:rPr>
              <w:t>30.6%</w:t>
            </w:r>
            <w:r>
              <w:t xml:space="preserve"> 95% CI: (26.6, 34.6)</w:t>
            </w:r>
          </w:p>
        </w:tc>
      </w:tr>
    </w:tbl>
    <w:p w:rsidR="008D44A4" w:rsidRDefault="008D44A4" w:rsidP="007E679C">
      <w:pPr>
        <w:rPr>
          <w:rFonts w:ascii="Times New Roman" w:hAnsi="Times New Roman" w:cs="Times New Roman"/>
          <w:sz w:val="24"/>
          <w:szCs w:val="24"/>
        </w:rPr>
      </w:pPr>
      <w:r>
        <w:rPr>
          <w:rFonts w:ascii="Times New Roman" w:hAnsi="Times New Roman" w:cs="Times New Roman"/>
          <w:sz w:val="24"/>
          <w:szCs w:val="24"/>
        </w:rPr>
        <w:t>Source: Conde, 2014</w:t>
      </w:r>
      <w:r>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"DOI" : "10.3945/ajcn.114.084764.Nutrition", "author" : [ { "dropping-particle" : "", "family" : "Conde", "given" : "Wolney Lisboa", "non-dropping-particle" : "", "parse-names" : false, "suffix" : "" }, { "dropping-particle" : "", "family" : "Monteiro", "given" : "Carlos Augusto", "non-dropping-particle" : "", "parse-names" : false, "suffix" : "" } ], "id" : "ITEM-1", "issue" : "1", "issued" : { "date-parts" : [ [ "2014" ] ] }, "page" : "1617-1622", "title" : "Nutrition transition and double burden of undernutrition and excess of weight in Brazil 1 \u2013 4", "type" : "article-journal", "volume" : "100" }, "uris" : [ "http://www.mendeley.com/documents/?uuid=592b9f50-d78e-48be-a2ee-7894b886f59e" ] } ], "mendeley" : { "formattedCitation" : "&lt;sup&gt;14&lt;/sup&gt;", "plainTextFormattedCitation" : "14", "previouslyFormattedCitation" : "&lt;sup&gt;13&lt;/sup&gt;" }, "properties" : { "noteIndex" : 0 }, "schema" : "https://github.com/citation-style-language/schema/raw/master/csl-citation.json" }</w:instrText>
      </w:r>
      <w:r>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14</w:t>
      </w:r>
      <w:r>
        <w:rPr>
          <w:rFonts w:ascii="Times New Roman" w:hAnsi="Times New Roman" w:cs="Times New Roman"/>
          <w:sz w:val="24"/>
          <w:szCs w:val="24"/>
        </w:rPr>
        <w:fldChar w:fldCharType="end"/>
      </w:r>
    </w:p>
    <w:p w:rsidR="00AA41B6" w:rsidRDefault="000B09E5" w:rsidP="007E679C">
      <w:pPr>
        <w:rPr>
          <w:rFonts w:ascii="Times New Roman" w:hAnsi="Times New Roman" w:cs="Times New Roman"/>
          <w:sz w:val="24"/>
          <w:szCs w:val="24"/>
        </w:rPr>
      </w:pPr>
      <w:r>
        <w:rPr>
          <w:rFonts w:ascii="Times New Roman" w:hAnsi="Times New Roman" w:cs="Times New Roman"/>
          <w:sz w:val="24"/>
          <w:szCs w:val="24"/>
        </w:rPr>
        <w:t>Table 1.3</w:t>
      </w:r>
    </w:p>
    <w:p w:rsidR="00AA41B6" w:rsidRDefault="00AA41B6" w:rsidP="007E679C">
      <w:pPr>
        <w:rPr>
          <w:rFonts w:ascii="Times New Roman" w:hAnsi="Times New Roman" w:cs="Times New Roman"/>
          <w:sz w:val="24"/>
          <w:szCs w:val="24"/>
        </w:rPr>
      </w:pPr>
      <w:r>
        <w:rPr>
          <w:rFonts w:ascii="Times New Roman" w:hAnsi="Times New Roman" w:cs="Times New Roman"/>
          <w:sz w:val="24"/>
          <w:szCs w:val="24"/>
        </w:rPr>
        <w:t>Prevalence of obesity in Brazil, by gender and urban or rural setting</w:t>
      </w:r>
    </w:p>
    <w:tbl>
      <w:tblPr>
        <w:tblStyle w:val="TableGrid"/>
        <w:tblW w:w="0" w:type="auto"/>
        <w:tblLook w:val="04A0" w:firstRow="1" w:lastRow="0" w:firstColumn="1" w:lastColumn="0" w:noHBand="0" w:noVBand="1"/>
      </w:tblPr>
      <w:tblGrid>
        <w:gridCol w:w="2337"/>
        <w:gridCol w:w="2338"/>
        <w:gridCol w:w="2338"/>
      </w:tblGrid>
      <w:tr w:rsidR="00A9093B" w:rsidTr="000B09E5">
        <w:tc>
          <w:tcPr>
            <w:tcW w:w="2337" w:type="dxa"/>
          </w:tcPr>
          <w:p w:rsidR="00A9093B" w:rsidRPr="00AA41B6" w:rsidRDefault="00A9093B" w:rsidP="007E679C">
            <w:pPr>
              <w:rPr>
                <w:rFonts w:ascii="Times New Roman" w:hAnsi="Times New Roman" w:cs="Times New Roman"/>
                <w:sz w:val="24"/>
                <w:szCs w:val="24"/>
              </w:rPr>
            </w:pPr>
          </w:p>
        </w:tc>
        <w:tc>
          <w:tcPr>
            <w:tcW w:w="4676" w:type="dxa"/>
            <w:gridSpan w:val="2"/>
          </w:tcPr>
          <w:p w:rsidR="00A9093B" w:rsidRPr="00AA41B6" w:rsidRDefault="00A9093B" w:rsidP="00A9093B">
            <w:pPr>
              <w:jc w:val="center"/>
              <w:rPr>
                <w:rFonts w:ascii="Times New Roman" w:hAnsi="Times New Roman" w:cs="Times New Roman"/>
                <w:sz w:val="24"/>
                <w:szCs w:val="24"/>
              </w:rPr>
            </w:pPr>
            <w:r w:rsidRPr="00AA41B6">
              <w:rPr>
                <w:rFonts w:ascii="Times New Roman" w:hAnsi="Times New Roman" w:cs="Times New Roman"/>
                <w:sz w:val="24"/>
                <w:szCs w:val="24"/>
              </w:rPr>
              <w:t>%Obese</w:t>
            </w:r>
          </w:p>
          <w:p w:rsidR="00A9093B" w:rsidRPr="00AA41B6" w:rsidRDefault="00A9093B" w:rsidP="00A9093B">
            <w:pPr>
              <w:jc w:val="center"/>
              <w:rPr>
                <w:rFonts w:ascii="Times New Roman" w:hAnsi="Times New Roman" w:cs="Times New Roman"/>
                <w:sz w:val="24"/>
                <w:szCs w:val="24"/>
              </w:rPr>
            </w:pPr>
            <w:r w:rsidRPr="00AA41B6">
              <w:rPr>
                <w:rFonts w:ascii="Times New Roman" w:hAnsi="Times New Roman" w:cs="Times New Roman"/>
                <w:sz w:val="24"/>
                <w:szCs w:val="24"/>
              </w:rPr>
              <w:t>Brazil 1997</w:t>
            </w:r>
          </w:p>
        </w:tc>
      </w:tr>
      <w:tr w:rsidR="00A9093B" w:rsidTr="00A9093B">
        <w:tc>
          <w:tcPr>
            <w:tcW w:w="2337" w:type="dxa"/>
          </w:tcPr>
          <w:p w:rsidR="00A9093B" w:rsidRPr="00AA41B6" w:rsidRDefault="00A9093B" w:rsidP="007E679C">
            <w:pPr>
              <w:rPr>
                <w:rFonts w:ascii="Times New Roman" w:hAnsi="Times New Roman" w:cs="Times New Roman"/>
                <w:sz w:val="24"/>
                <w:szCs w:val="24"/>
              </w:rPr>
            </w:pPr>
          </w:p>
        </w:tc>
        <w:tc>
          <w:tcPr>
            <w:tcW w:w="2338" w:type="dxa"/>
          </w:tcPr>
          <w:p w:rsidR="00A9093B" w:rsidRPr="00AA41B6" w:rsidRDefault="00A9093B" w:rsidP="007E679C">
            <w:pPr>
              <w:rPr>
                <w:rFonts w:ascii="Times New Roman" w:hAnsi="Times New Roman" w:cs="Times New Roman"/>
                <w:sz w:val="24"/>
                <w:szCs w:val="24"/>
              </w:rPr>
            </w:pPr>
            <w:r w:rsidRPr="00AA41B6">
              <w:rPr>
                <w:rFonts w:ascii="Times New Roman" w:hAnsi="Times New Roman" w:cs="Times New Roman"/>
                <w:sz w:val="24"/>
                <w:szCs w:val="24"/>
              </w:rPr>
              <w:t xml:space="preserve">Men </w:t>
            </w:r>
          </w:p>
        </w:tc>
        <w:tc>
          <w:tcPr>
            <w:tcW w:w="2338" w:type="dxa"/>
          </w:tcPr>
          <w:p w:rsidR="00A9093B" w:rsidRPr="00AA41B6" w:rsidRDefault="00A9093B" w:rsidP="007E679C">
            <w:pPr>
              <w:rPr>
                <w:rFonts w:ascii="Times New Roman" w:hAnsi="Times New Roman" w:cs="Times New Roman"/>
                <w:sz w:val="24"/>
                <w:szCs w:val="24"/>
              </w:rPr>
            </w:pPr>
            <w:r w:rsidRPr="00AA41B6">
              <w:rPr>
                <w:rFonts w:ascii="Times New Roman" w:hAnsi="Times New Roman" w:cs="Times New Roman"/>
                <w:sz w:val="24"/>
                <w:szCs w:val="24"/>
              </w:rPr>
              <w:t>Women</w:t>
            </w:r>
          </w:p>
        </w:tc>
      </w:tr>
      <w:tr w:rsidR="00A9093B" w:rsidTr="00A9093B">
        <w:tc>
          <w:tcPr>
            <w:tcW w:w="2337" w:type="dxa"/>
          </w:tcPr>
          <w:p w:rsidR="00A9093B" w:rsidRPr="00AA41B6" w:rsidRDefault="00A9093B" w:rsidP="00A9093B">
            <w:pPr>
              <w:rPr>
                <w:rFonts w:ascii="Times New Roman" w:hAnsi="Times New Roman" w:cs="Times New Roman"/>
                <w:sz w:val="24"/>
                <w:szCs w:val="24"/>
              </w:rPr>
            </w:pPr>
            <w:r w:rsidRPr="00AA41B6">
              <w:rPr>
                <w:rFonts w:ascii="Times New Roman" w:hAnsi="Times New Roman" w:cs="Times New Roman"/>
                <w:sz w:val="24"/>
                <w:szCs w:val="24"/>
              </w:rPr>
              <w:t>Urban</w:t>
            </w:r>
          </w:p>
        </w:tc>
        <w:tc>
          <w:tcPr>
            <w:tcW w:w="2338" w:type="dxa"/>
          </w:tcPr>
          <w:p w:rsidR="00A9093B" w:rsidRPr="00AA41B6" w:rsidRDefault="00A9093B" w:rsidP="00A9093B">
            <w:pPr>
              <w:rPr>
                <w:rFonts w:ascii="Times New Roman" w:hAnsi="Times New Roman" w:cs="Times New Roman"/>
                <w:sz w:val="24"/>
                <w:szCs w:val="24"/>
              </w:rPr>
            </w:pPr>
            <w:r w:rsidRPr="00AA41B6">
              <w:rPr>
                <w:rFonts w:ascii="Times New Roman" w:hAnsi="Times New Roman" w:cs="Times New Roman"/>
                <w:sz w:val="24"/>
                <w:szCs w:val="24"/>
              </w:rPr>
              <w:t>7.9%</w:t>
            </w:r>
          </w:p>
        </w:tc>
        <w:tc>
          <w:tcPr>
            <w:tcW w:w="2338" w:type="dxa"/>
          </w:tcPr>
          <w:p w:rsidR="00A9093B" w:rsidRPr="00AA41B6" w:rsidRDefault="00A9093B" w:rsidP="00A9093B">
            <w:pPr>
              <w:rPr>
                <w:rFonts w:ascii="Times New Roman" w:hAnsi="Times New Roman" w:cs="Times New Roman"/>
                <w:sz w:val="24"/>
                <w:szCs w:val="24"/>
              </w:rPr>
            </w:pPr>
            <w:r w:rsidRPr="00AA41B6">
              <w:rPr>
                <w:rFonts w:ascii="Times New Roman" w:hAnsi="Times New Roman" w:cs="Times New Roman"/>
                <w:sz w:val="24"/>
                <w:szCs w:val="24"/>
              </w:rPr>
              <w:t>12.7%</w:t>
            </w:r>
          </w:p>
        </w:tc>
      </w:tr>
      <w:tr w:rsidR="00A9093B" w:rsidTr="00A9093B">
        <w:tc>
          <w:tcPr>
            <w:tcW w:w="2337" w:type="dxa"/>
          </w:tcPr>
          <w:p w:rsidR="00A9093B" w:rsidRPr="00AA41B6" w:rsidRDefault="00A9093B" w:rsidP="00A9093B">
            <w:pPr>
              <w:rPr>
                <w:rFonts w:ascii="Times New Roman" w:hAnsi="Times New Roman" w:cs="Times New Roman"/>
                <w:sz w:val="24"/>
                <w:szCs w:val="24"/>
              </w:rPr>
            </w:pPr>
            <w:r w:rsidRPr="00AA41B6">
              <w:rPr>
                <w:rFonts w:ascii="Times New Roman" w:hAnsi="Times New Roman" w:cs="Times New Roman"/>
                <w:sz w:val="24"/>
                <w:szCs w:val="24"/>
              </w:rPr>
              <w:t>Rural</w:t>
            </w:r>
          </w:p>
        </w:tc>
        <w:tc>
          <w:tcPr>
            <w:tcW w:w="2338" w:type="dxa"/>
          </w:tcPr>
          <w:p w:rsidR="00A9093B" w:rsidRPr="00AA41B6" w:rsidRDefault="00A9093B" w:rsidP="00A9093B">
            <w:pPr>
              <w:rPr>
                <w:rFonts w:ascii="Times New Roman" w:hAnsi="Times New Roman" w:cs="Times New Roman"/>
                <w:sz w:val="24"/>
                <w:szCs w:val="24"/>
              </w:rPr>
            </w:pPr>
            <w:r w:rsidRPr="00AA41B6">
              <w:rPr>
                <w:rFonts w:ascii="Times New Roman" w:hAnsi="Times New Roman" w:cs="Times New Roman"/>
                <w:sz w:val="24"/>
                <w:szCs w:val="24"/>
              </w:rPr>
              <w:t>2.8%</w:t>
            </w:r>
          </w:p>
        </w:tc>
        <w:tc>
          <w:tcPr>
            <w:tcW w:w="2338" w:type="dxa"/>
          </w:tcPr>
          <w:p w:rsidR="00A9093B" w:rsidRPr="00AA41B6" w:rsidRDefault="00AA41B6" w:rsidP="00A9093B">
            <w:pPr>
              <w:rPr>
                <w:rFonts w:ascii="Times New Roman" w:hAnsi="Times New Roman" w:cs="Times New Roman"/>
                <w:sz w:val="24"/>
                <w:szCs w:val="24"/>
              </w:rPr>
            </w:pPr>
            <w:r w:rsidRPr="00AA41B6">
              <w:rPr>
                <w:rFonts w:ascii="Times New Roman" w:hAnsi="Times New Roman" w:cs="Times New Roman"/>
                <w:sz w:val="24"/>
                <w:szCs w:val="24"/>
              </w:rPr>
              <w:t>10%</w:t>
            </w:r>
          </w:p>
        </w:tc>
      </w:tr>
    </w:tbl>
    <w:p w:rsidR="00A9093B" w:rsidRPr="00A9093B" w:rsidRDefault="00A9093B" w:rsidP="007E679C">
      <w:pPr>
        <w:rPr>
          <w:rFonts w:ascii="Times New Roman" w:hAnsi="Times New Roman" w:cs="Times New Roman"/>
          <w:sz w:val="24"/>
          <w:szCs w:val="24"/>
        </w:rPr>
      </w:pPr>
      <w:r>
        <w:rPr>
          <w:rFonts w:ascii="Times New Roman" w:hAnsi="Times New Roman" w:cs="Times New Roman"/>
          <w:sz w:val="24"/>
          <w:szCs w:val="24"/>
        </w:rPr>
        <w:t>Source: Filozof, 2001</w:t>
      </w:r>
      <w:r>
        <w:rPr>
          <w:rFonts w:ascii="Times New Roman" w:hAnsi="Times New Roman" w:cs="Times New Roman"/>
          <w:sz w:val="24"/>
          <w:szCs w:val="24"/>
        </w:rPr>
        <w:fldChar w:fldCharType="begin" w:fldLock="1"/>
      </w:r>
      <w:r w:rsidR="0044130C">
        <w:rPr>
          <w:rFonts w:ascii="Times New Roman" w:hAnsi="Times New Roman" w:cs="Times New Roman"/>
          <w:sz w:val="24"/>
          <w:szCs w:val="24"/>
        </w:rPr>
        <w:instrText>ADDIN CSL_CITATION { "citationItems" : [ { "id" : "ITEM-1", "itemData" : { "DOI" : "10.1046/j.1467-789x.2001.00029.x", "ISBN" : "1467-7881 (Print)\\n1467-7881 (Linking)", "ISSN" : "1467-7881", "PMID" : "12119667", "abstract" : "The prevalence of obesity in some lower-income and transitional countries is as high as, or even higher than, the prevalence reported in developed nations, and it seems to be increasing rapidly. In most countries, the prevalence of obesity is higher in women than in men, and higher in urban than in rural areas. Preobesity prevalence is very high in most Latin-American countries. Sixty per cent of the population in Venado Tuerto (Argentina) has a body mass index (BMI) of &gt; or = 25 kg m-2, as do 35% of the population in Brazil, 60% in Mexico, 68% in Paraguay and 53% in Peru. Trends are available from Brazil, where marked increases in the prevalence of obesity have occurred, except in women from higher-income groups. Women from the higher-income quartiles in urban regions experienced a marked reduction in obesity prevalence from 1989 to 1997 (12.8 to 9.2%). Although data in children is scant, the prevalence of undernutrition is decreasing and the prevalence of obesity is high also in Latin-American children. The prevalence of obesity is high even in minority Indian groups. Rapid changes in dietary structure (in particular associated with urbanization) and major changes in the levels of physical activity, both occupationally and during leisure time, may explain these changes.", "author" : [ { "dropping-particle" : "", "family" : "Filozof", "given" : "C", "non-dropping-particle" : "", "parse-names" : false, "suffix" : "" }, { "dropping-particle" : "", "family" : "Gonzalez", "given" : "C", "non-dropping-particle" : "", "parse-names" : false, "suffix" : "" }, { "dropping-particle" : "", "family" : "Sereday", "given" : "M", "non-dropping-particle" : "", "parse-names" : false, "suffix" : "" }, { "dropping-particle" : "", "family" : "Mazza", "given" : "C", "non-dropping-particle" : "", "parse-names" : false, "suffix" : "" }, { "dropping-particle" : "", "family" : "Braguinsky", "given" : "J", "non-dropping-particle" : "", "parse-names" : false, "suffix" : "" } ], "container-title" : "Obesity reviews : an official journal of the International Association for the Study of Obesity", "id" : "ITEM-1", "issue" : "2", "issued" : { "date-parts" : [ [ "2001" ] ] }, "page" : "99-106", "title" : "Obesity prevalence and trends in Latin-American countries.", "type" : "article-journal", "volume" : "2" }, "uris" : [ "http://www.mendeley.com/documents/?uuid=c4051b51-61c9-4d92-a8a8-2174df37c6df" ] } ], "mendeley" : { "formattedCitation" : "&lt;sup&gt;12&lt;/sup&gt;", "plainTextFormattedCitation" : "12", "previouslyFormattedCitation" : "&lt;sup&gt;11&lt;/sup&gt;" }, "properties" : { "noteIndex" : 0 }, "schema" : "https://github.com/citation-style-language/schema/raw/master/csl-citation.json" }</w:instrText>
      </w:r>
      <w:r>
        <w:rPr>
          <w:rFonts w:ascii="Times New Roman" w:hAnsi="Times New Roman" w:cs="Times New Roman"/>
          <w:sz w:val="24"/>
          <w:szCs w:val="24"/>
        </w:rPr>
        <w:fldChar w:fldCharType="separate"/>
      </w:r>
      <w:r w:rsidR="0044130C" w:rsidRPr="0044130C">
        <w:rPr>
          <w:rFonts w:ascii="Times New Roman" w:hAnsi="Times New Roman" w:cs="Times New Roman"/>
          <w:noProof/>
          <w:sz w:val="24"/>
          <w:szCs w:val="24"/>
          <w:vertAlign w:val="superscript"/>
        </w:rPr>
        <w:t>12</w:t>
      </w:r>
      <w:r>
        <w:rPr>
          <w:rFonts w:ascii="Times New Roman" w:hAnsi="Times New Roman" w:cs="Times New Roman"/>
          <w:sz w:val="24"/>
          <w:szCs w:val="24"/>
        </w:rPr>
        <w:fldChar w:fldCharType="end"/>
      </w:r>
    </w:p>
    <w:p w:rsidR="00774EC6" w:rsidRDefault="00774EC6">
      <w:pPr>
        <w:rPr>
          <w:rFonts w:ascii="Times New Roman" w:hAnsi="Times New Roman" w:cs="Times New Roman"/>
          <w:b/>
          <w:sz w:val="24"/>
          <w:szCs w:val="24"/>
        </w:rPr>
      </w:pPr>
      <w:r>
        <w:rPr>
          <w:rFonts w:ascii="Times New Roman" w:hAnsi="Times New Roman" w:cs="Times New Roman"/>
          <w:b/>
          <w:sz w:val="24"/>
          <w:szCs w:val="24"/>
        </w:rPr>
        <w:br w:type="page"/>
      </w:r>
    </w:p>
    <w:p w:rsidR="00FE0900" w:rsidRPr="00101A78" w:rsidRDefault="00FE0900" w:rsidP="007E679C">
      <w:pPr>
        <w:rPr>
          <w:rFonts w:ascii="Times New Roman" w:hAnsi="Times New Roman" w:cs="Times New Roman"/>
          <w:b/>
          <w:sz w:val="24"/>
          <w:szCs w:val="24"/>
        </w:rPr>
      </w:pPr>
      <w:r w:rsidRPr="00101A78">
        <w:rPr>
          <w:rFonts w:ascii="Times New Roman" w:hAnsi="Times New Roman" w:cs="Times New Roman"/>
          <w:b/>
          <w:sz w:val="24"/>
          <w:szCs w:val="24"/>
        </w:rPr>
        <w:lastRenderedPageBreak/>
        <w:t>Bibliography</w:t>
      </w:r>
    </w:p>
    <w:p w:rsidR="0044130C" w:rsidRPr="0044130C" w:rsidRDefault="00635CEB">
      <w:pPr>
        <w:pStyle w:val="NormalWeb"/>
        <w:ind w:left="640" w:hanging="640"/>
        <w:divId w:val="1208958146"/>
        <w:rPr>
          <w:noProof/>
        </w:rPr>
      </w:pPr>
      <w:r>
        <w:fldChar w:fldCharType="begin" w:fldLock="1"/>
      </w:r>
      <w:r>
        <w:instrText xml:space="preserve">ADDIN Mendeley Bibliography CSL_BIBLIOGRAPHY </w:instrText>
      </w:r>
      <w:r>
        <w:fldChar w:fldCharType="separate"/>
      </w:r>
      <w:r w:rsidR="0044130C" w:rsidRPr="0044130C">
        <w:rPr>
          <w:noProof/>
        </w:rPr>
        <w:t xml:space="preserve">1. </w:t>
      </w:r>
      <w:r w:rsidR="0044130C" w:rsidRPr="0044130C">
        <w:rPr>
          <w:noProof/>
        </w:rPr>
        <w:tab/>
      </w:r>
      <w:r w:rsidR="0044130C" w:rsidRPr="0044130C">
        <w:rPr>
          <w:i/>
          <w:iCs/>
          <w:noProof/>
        </w:rPr>
        <w:t>Brazil: WHO Statistical Profile</w:t>
      </w:r>
      <w:r w:rsidR="0044130C" w:rsidRPr="0044130C">
        <w:rPr>
          <w:noProof/>
        </w:rPr>
        <w:t>.; 2015.</w:t>
      </w:r>
    </w:p>
    <w:p w:rsidR="0044130C" w:rsidRPr="0044130C" w:rsidRDefault="0044130C">
      <w:pPr>
        <w:pStyle w:val="NormalWeb"/>
        <w:ind w:left="640" w:hanging="640"/>
        <w:divId w:val="1208958146"/>
        <w:rPr>
          <w:noProof/>
        </w:rPr>
      </w:pPr>
      <w:r w:rsidRPr="0044130C">
        <w:rPr>
          <w:noProof/>
        </w:rPr>
        <w:t xml:space="preserve">2. </w:t>
      </w:r>
      <w:r w:rsidRPr="0044130C">
        <w:rPr>
          <w:noProof/>
        </w:rPr>
        <w:tab/>
        <w:t>IndexMundi. Brazil Demographics Profile 2014. 2014. http://www.indexmundi.com/brazil/demographics_profile.html.</w:t>
      </w:r>
    </w:p>
    <w:p w:rsidR="0044130C" w:rsidRPr="0044130C" w:rsidRDefault="0044130C">
      <w:pPr>
        <w:pStyle w:val="NormalWeb"/>
        <w:ind w:left="640" w:hanging="640"/>
        <w:divId w:val="1208958146"/>
        <w:rPr>
          <w:noProof/>
        </w:rPr>
      </w:pPr>
      <w:r w:rsidRPr="0044130C">
        <w:rPr>
          <w:noProof/>
        </w:rPr>
        <w:t xml:space="preserve">3. </w:t>
      </w:r>
      <w:r w:rsidRPr="0044130C">
        <w:rPr>
          <w:noProof/>
        </w:rPr>
        <w:tab/>
        <w:t xml:space="preserve">Travassos C, Williams DR. The concept and measurement of race and their relationship to public health: a review focused on Brazil and the United States. </w:t>
      </w:r>
      <w:r w:rsidRPr="0044130C">
        <w:rPr>
          <w:i/>
          <w:iCs/>
          <w:noProof/>
        </w:rPr>
        <w:t>Cad saude publica / Minist da Saude, Fund Oswaldo Cruz, Esc Nac Saude Publica</w:t>
      </w:r>
      <w:r w:rsidRPr="0044130C">
        <w:rPr>
          <w:noProof/>
        </w:rPr>
        <w:t>. 2004;20(3):660-678. doi:10.1590/S0102-311X2004000300003.</w:t>
      </w:r>
    </w:p>
    <w:p w:rsidR="0044130C" w:rsidRPr="0044130C" w:rsidRDefault="0044130C">
      <w:pPr>
        <w:pStyle w:val="NormalWeb"/>
        <w:ind w:left="640" w:hanging="640"/>
        <w:divId w:val="1208958146"/>
        <w:rPr>
          <w:noProof/>
        </w:rPr>
      </w:pPr>
      <w:r w:rsidRPr="0044130C">
        <w:rPr>
          <w:noProof/>
        </w:rPr>
        <w:t xml:space="preserve">4. </w:t>
      </w:r>
      <w:r w:rsidRPr="0044130C">
        <w:rPr>
          <w:noProof/>
        </w:rPr>
        <w:tab/>
        <w:t>5 Regions of Brazil. 2015:5-6. http://www.brazil.org.nz/page/five-regions.aspx. Accessed April 6, 2015.</w:t>
      </w:r>
    </w:p>
    <w:p w:rsidR="0044130C" w:rsidRPr="0044130C" w:rsidRDefault="0044130C">
      <w:pPr>
        <w:pStyle w:val="NormalWeb"/>
        <w:ind w:left="640" w:hanging="640"/>
        <w:divId w:val="1208958146"/>
        <w:rPr>
          <w:noProof/>
        </w:rPr>
      </w:pPr>
      <w:r w:rsidRPr="0044130C">
        <w:rPr>
          <w:noProof/>
        </w:rPr>
        <w:t xml:space="preserve">5. </w:t>
      </w:r>
      <w:r w:rsidRPr="0044130C">
        <w:rPr>
          <w:noProof/>
        </w:rPr>
        <w:tab/>
        <w:t xml:space="preserve">Osório MM, Lira PIC, BatistaFilho M, Ashworth A. Prevalence of anemia in children 6 </w:t>
      </w:r>
      <w:r w:rsidRPr="0044130C">
        <w:rPr>
          <w:noProof/>
        </w:rPr>
        <w:softHyphen/>
        <w:t>- 59 months old in the state of Pernambuco, Brazil. 2001;10(2):2-9.</w:t>
      </w:r>
    </w:p>
    <w:p w:rsidR="0044130C" w:rsidRPr="0044130C" w:rsidRDefault="0044130C">
      <w:pPr>
        <w:pStyle w:val="NormalWeb"/>
        <w:ind w:left="640" w:hanging="640"/>
        <w:divId w:val="1208958146"/>
        <w:rPr>
          <w:noProof/>
        </w:rPr>
      </w:pPr>
      <w:r w:rsidRPr="0044130C">
        <w:rPr>
          <w:noProof/>
        </w:rPr>
        <w:t xml:space="preserve">6. </w:t>
      </w:r>
      <w:r w:rsidRPr="0044130C">
        <w:rPr>
          <w:noProof/>
        </w:rPr>
        <w:tab/>
        <w:t xml:space="preserve">Correia LL, E Silva AC, Sales Campos J, et al. Prevalence and determinants of child undernutrition and stunting in semiarid region of Brazil. </w:t>
      </w:r>
      <w:r w:rsidRPr="0044130C">
        <w:rPr>
          <w:i/>
          <w:iCs/>
          <w:noProof/>
        </w:rPr>
        <w:t>Rev Saude Publica</w:t>
      </w:r>
      <w:r w:rsidRPr="0044130C">
        <w:rPr>
          <w:noProof/>
        </w:rPr>
        <w:t>. 2014;48(1):19-28. doi:10.1590/S0034-8910.2014048004828.</w:t>
      </w:r>
    </w:p>
    <w:p w:rsidR="0044130C" w:rsidRPr="0044130C" w:rsidRDefault="0044130C">
      <w:pPr>
        <w:pStyle w:val="NormalWeb"/>
        <w:ind w:left="640" w:hanging="640"/>
        <w:divId w:val="1208958146"/>
        <w:rPr>
          <w:noProof/>
        </w:rPr>
      </w:pPr>
      <w:r w:rsidRPr="0044130C">
        <w:rPr>
          <w:noProof/>
        </w:rPr>
        <w:t xml:space="preserve">7. </w:t>
      </w:r>
      <w:r w:rsidRPr="0044130C">
        <w:rPr>
          <w:noProof/>
        </w:rPr>
        <w:tab/>
        <w:t xml:space="preserve">De Onis M, Blössner M, Borghi E. Prevalence and trends of stunting among pre-school children, 1990–2020. </w:t>
      </w:r>
      <w:r w:rsidRPr="0044130C">
        <w:rPr>
          <w:i/>
          <w:iCs/>
          <w:noProof/>
        </w:rPr>
        <w:t>Public Health Nutr</w:t>
      </w:r>
      <w:r w:rsidRPr="0044130C">
        <w:rPr>
          <w:noProof/>
        </w:rPr>
        <w:t>. 2012;15(01):142-148. doi:10.1017/S1368980011001315.</w:t>
      </w:r>
    </w:p>
    <w:p w:rsidR="0044130C" w:rsidRPr="0044130C" w:rsidRDefault="0044130C">
      <w:pPr>
        <w:pStyle w:val="NormalWeb"/>
        <w:ind w:left="640" w:hanging="640"/>
        <w:divId w:val="1208958146"/>
        <w:rPr>
          <w:noProof/>
        </w:rPr>
      </w:pPr>
      <w:r w:rsidRPr="0044130C">
        <w:rPr>
          <w:noProof/>
        </w:rPr>
        <w:t xml:space="preserve">8. </w:t>
      </w:r>
      <w:r w:rsidRPr="0044130C">
        <w:rPr>
          <w:noProof/>
        </w:rPr>
        <w:tab/>
        <w:t xml:space="preserve">Restrepo-Méndez MC, Barros AJ, Black RE, Victora CG. Time trends in socio-economic inequalities in stunting prevalence: analyses of repeated national surveys. </w:t>
      </w:r>
      <w:r w:rsidRPr="0044130C">
        <w:rPr>
          <w:i/>
          <w:iCs/>
          <w:noProof/>
        </w:rPr>
        <w:t>Public Health Nutr</w:t>
      </w:r>
      <w:r w:rsidRPr="0044130C">
        <w:rPr>
          <w:noProof/>
        </w:rPr>
        <w:t>. 2014;(5):1-8. doi:10.1017/S1368980014002924.</w:t>
      </w:r>
    </w:p>
    <w:p w:rsidR="0044130C" w:rsidRPr="0044130C" w:rsidRDefault="0044130C">
      <w:pPr>
        <w:pStyle w:val="NormalWeb"/>
        <w:ind w:left="640" w:hanging="640"/>
        <w:divId w:val="1208958146"/>
        <w:rPr>
          <w:noProof/>
        </w:rPr>
      </w:pPr>
      <w:r w:rsidRPr="0044130C">
        <w:rPr>
          <w:noProof/>
        </w:rPr>
        <w:t xml:space="preserve">9. </w:t>
      </w:r>
      <w:r w:rsidRPr="0044130C">
        <w:rPr>
          <w:noProof/>
        </w:rPr>
        <w:tab/>
        <w:t xml:space="preserve">Monteiro CA, Conde WL, Popkin BM. The Burden of Disease from Undernutrition and Overnutrition in Countries Undergoing Rapid Nutrition Transition: A View from Brazil. </w:t>
      </w:r>
      <w:r w:rsidRPr="0044130C">
        <w:rPr>
          <w:i/>
          <w:iCs/>
          <w:noProof/>
        </w:rPr>
        <w:t>Am J Public Health</w:t>
      </w:r>
      <w:r w:rsidRPr="0044130C">
        <w:rPr>
          <w:noProof/>
        </w:rPr>
        <w:t>. 2004;94(3):433-434. doi:10.2105/AJPH.94.3.433.</w:t>
      </w:r>
    </w:p>
    <w:p w:rsidR="0044130C" w:rsidRPr="0044130C" w:rsidRDefault="0044130C">
      <w:pPr>
        <w:pStyle w:val="NormalWeb"/>
        <w:ind w:left="640" w:hanging="640"/>
        <w:divId w:val="1208958146"/>
        <w:rPr>
          <w:noProof/>
        </w:rPr>
      </w:pPr>
      <w:r w:rsidRPr="0044130C">
        <w:rPr>
          <w:noProof/>
        </w:rPr>
        <w:t xml:space="preserve">10. </w:t>
      </w:r>
      <w:r w:rsidRPr="0044130C">
        <w:rPr>
          <w:noProof/>
        </w:rPr>
        <w:tab/>
      </w:r>
      <w:r w:rsidRPr="0044130C">
        <w:rPr>
          <w:i/>
          <w:iCs/>
          <w:noProof/>
        </w:rPr>
        <w:t>FAO - Nutrition Country Profiles: Brazil</w:t>
      </w:r>
      <w:r w:rsidRPr="0044130C">
        <w:rPr>
          <w:noProof/>
        </w:rPr>
        <w:t>. Rome, Italy; 2000.</w:t>
      </w:r>
    </w:p>
    <w:p w:rsidR="0044130C" w:rsidRPr="0044130C" w:rsidRDefault="0044130C">
      <w:pPr>
        <w:pStyle w:val="NormalWeb"/>
        <w:ind w:left="640" w:hanging="640"/>
        <w:divId w:val="1208958146"/>
        <w:rPr>
          <w:noProof/>
        </w:rPr>
      </w:pPr>
      <w:r w:rsidRPr="0044130C">
        <w:rPr>
          <w:noProof/>
        </w:rPr>
        <w:t xml:space="preserve">11. </w:t>
      </w:r>
      <w:r w:rsidRPr="0044130C">
        <w:rPr>
          <w:noProof/>
        </w:rPr>
        <w:tab/>
        <w:t xml:space="preserve">Hallal PC, Wells JCK, Bertoldi a D, et al. A shift in the epidemiology of low body mass index in Brazilian adults. </w:t>
      </w:r>
      <w:r w:rsidRPr="0044130C">
        <w:rPr>
          <w:i/>
          <w:iCs/>
          <w:noProof/>
        </w:rPr>
        <w:t>Eur J Clin Nutr</w:t>
      </w:r>
      <w:r w:rsidRPr="0044130C">
        <w:rPr>
          <w:noProof/>
        </w:rPr>
        <w:t>. 2005;59(9):1002-1006. doi:10.1038/sj.ejcn.1602204.</w:t>
      </w:r>
    </w:p>
    <w:p w:rsidR="0044130C" w:rsidRPr="0044130C" w:rsidRDefault="0044130C">
      <w:pPr>
        <w:pStyle w:val="NormalWeb"/>
        <w:ind w:left="640" w:hanging="640"/>
        <w:divId w:val="1208958146"/>
        <w:rPr>
          <w:noProof/>
        </w:rPr>
      </w:pPr>
      <w:r w:rsidRPr="0044130C">
        <w:rPr>
          <w:noProof/>
        </w:rPr>
        <w:t xml:space="preserve">12. </w:t>
      </w:r>
      <w:r w:rsidRPr="0044130C">
        <w:rPr>
          <w:noProof/>
        </w:rPr>
        <w:tab/>
        <w:t xml:space="preserve">Filozof C, Gonzalez C, Sereday M, Mazza C, Braguinsky J. Obesity prevalence and trends in Latin-American countries. </w:t>
      </w:r>
      <w:r w:rsidRPr="0044130C">
        <w:rPr>
          <w:i/>
          <w:iCs/>
          <w:noProof/>
        </w:rPr>
        <w:t>Obes Rev</w:t>
      </w:r>
      <w:r w:rsidRPr="0044130C">
        <w:rPr>
          <w:noProof/>
        </w:rPr>
        <w:t>. 2001;2(2):99-106. doi:10.1046/j.1467-789x.2001.00029.x.</w:t>
      </w:r>
    </w:p>
    <w:p w:rsidR="0044130C" w:rsidRPr="0044130C" w:rsidRDefault="0044130C">
      <w:pPr>
        <w:pStyle w:val="NormalWeb"/>
        <w:ind w:left="640" w:hanging="640"/>
        <w:divId w:val="1208958146"/>
        <w:rPr>
          <w:noProof/>
        </w:rPr>
      </w:pPr>
      <w:r w:rsidRPr="0044130C">
        <w:rPr>
          <w:noProof/>
        </w:rPr>
        <w:t xml:space="preserve">13. </w:t>
      </w:r>
      <w:r w:rsidRPr="0044130C">
        <w:rPr>
          <w:noProof/>
        </w:rPr>
        <w:tab/>
        <w:t xml:space="preserve">Popkin BM. The nutrition transition and its health implications in lower-income countries. </w:t>
      </w:r>
      <w:r w:rsidRPr="0044130C">
        <w:rPr>
          <w:i/>
          <w:iCs/>
          <w:noProof/>
        </w:rPr>
        <w:t>Public Health Nutr</w:t>
      </w:r>
      <w:r w:rsidRPr="0044130C">
        <w:rPr>
          <w:noProof/>
        </w:rPr>
        <w:t>. 1998;1(1):5-21. doi:10.1079/PHN19980004.</w:t>
      </w:r>
    </w:p>
    <w:p w:rsidR="0044130C" w:rsidRPr="0044130C" w:rsidRDefault="0044130C">
      <w:pPr>
        <w:pStyle w:val="NormalWeb"/>
        <w:ind w:left="640" w:hanging="640"/>
        <w:divId w:val="1208958146"/>
        <w:rPr>
          <w:noProof/>
        </w:rPr>
      </w:pPr>
      <w:r w:rsidRPr="0044130C">
        <w:rPr>
          <w:noProof/>
        </w:rPr>
        <w:lastRenderedPageBreak/>
        <w:t xml:space="preserve">14. </w:t>
      </w:r>
      <w:r w:rsidRPr="0044130C">
        <w:rPr>
          <w:noProof/>
        </w:rPr>
        <w:tab/>
        <w:t>Conde WL, Monteiro CA. Nutrition transition and double burden of undernutrition and excess of weight in Brazil 1 – 4. 2014;100(1):1617-1622. doi:10.3945/ajcn.114.084764.Nutrition.</w:t>
      </w:r>
    </w:p>
    <w:p w:rsidR="0044130C" w:rsidRPr="0044130C" w:rsidRDefault="0044130C">
      <w:pPr>
        <w:pStyle w:val="NormalWeb"/>
        <w:ind w:left="640" w:hanging="640"/>
        <w:divId w:val="1208958146"/>
        <w:rPr>
          <w:noProof/>
        </w:rPr>
      </w:pPr>
      <w:r w:rsidRPr="0044130C">
        <w:rPr>
          <w:noProof/>
        </w:rPr>
        <w:t xml:space="preserve">15. </w:t>
      </w:r>
      <w:r w:rsidRPr="0044130C">
        <w:rPr>
          <w:noProof/>
        </w:rPr>
        <w:tab/>
        <w:t>UNICEF. Vitamin A Supplementation: A Decade of Progress. 2007. https://www.unicef.at/fileadmin/media/Infos_und_Medien/Info-Material/Ernaehrung_und_Gesundheit/Vitamin_A_Supplementation.pdf. Accessed April 13, 2015.</w:t>
      </w:r>
    </w:p>
    <w:p w:rsidR="0044130C" w:rsidRPr="0044130C" w:rsidRDefault="0044130C">
      <w:pPr>
        <w:pStyle w:val="NormalWeb"/>
        <w:ind w:left="640" w:hanging="640"/>
        <w:divId w:val="1208958146"/>
        <w:rPr>
          <w:noProof/>
        </w:rPr>
      </w:pPr>
      <w:r w:rsidRPr="0044130C">
        <w:rPr>
          <w:noProof/>
        </w:rPr>
        <w:t xml:space="preserve">16. </w:t>
      </w:r>
      <w:r w:rsidRPr="0044130C">
        <w:rPr>
          <w:noProof/>
        </w:rPr>
        <w:tab/>
        <w:t xml:space="preserve">De Souza WA DCVBO. Vitamin A deficiency in Brazil : an overview. </w:t>
      </w:r>
      <w:r w:rsidRPr="0044130C">
        <w:rPr>
          <w:i/>
          <w:iCs/>
          <w:noProof/>
        </w:rPr>
        <w:t>Rev Panam Salud Publica</w:t>
      </w:r>
      <w:r w:rsidRPr="0044130C">
        <w:rPr>
          <w:noProof/>
        </w:rPr>
        <w:t>. 2002;12(3):3-4.</w:t>
      </w:r>
    </w:p>
    <w:p w:rsidR="0044130C" w:rsidRPr="0044130C" w:rsidRDefault="0044130C">
      <w:pPr>
        <w:pStyle w:val="NormalWeb"/>
        <w:ind w:left="640" w:hanging="640"/>
        <w:divId w:val="1208958146"/>
        <w:rPr>
          <w:noProof/>
        </w:rPr>
      </w:pPr>
      <w:r w:rsidRPr="0044130C">
        <w:rPr>
          <w:noProof/>
        </w:rPr>
        <w:t xml:space="preserve">17. </w:t>
      </w:r>
      <w:r w:rsidRPr="0044130C">
        <w:rPr>
          <w:noProof/>
        </w:rPr>
        <w:tab/>
        <w:t xml:space="preserve">Simmons WK. Xerophthalmia and blindness in Northeast Brazil. </w:t>
      </w:r>
      <w:r w:rsidRPr="0044130C">
        <w:rPr>
          <w:i/>
          <w:iCs/>
          <w:noProof/>
        </w:rPr>
        <w:t>Am J Clin Nutr</w:t>
      </w:r>
      <w:r w:rsidRPr="0044130C">
        <w:rPr>
          <w:noProof/>
        </w:rPr>
        <w:t>. 1976;29(1):116-122.</w:t>
      </w:r>
    </w:p>
    <w:p w:rsidR="0044130C" w:rsidRPr="0044130C" w:rsidRDefault="0044130C">
      <w:pPr>
        <w:pStyle w:val="NormalWeb"/>
        <w:ind w:left="640" w:hanging="640"/>
        <w:divId w:val="1208958146"/>
        <w:rPr>
          <w:noProof/>
        </w:rPr>
      </w:pPr>
      <w:r w:rsidRPr="0044130C">
        <w:rPr>
          <w:noProof/>
        </w:rPr>
        <w:t xml:space="preserve">18. </w:t>
      </w:r>
      <w:r w:rsidRPr="0044130C">
        <w:rPr>
          <w:noProof/>
        </w:rPr>
        <w:tab/>
        <w:t xml:space="preserve">Karla W, Albuquerque P, Costa MDF. Anemia and vitamin A deficiency in children under five years of age assisted by the Family Health Strategy in the state of Pernambuco, Brazil. </w:t>
      </w:r>
      <w:r w:rsidRPr="0044130C">
        <w:rPr>
          <w:i/>
          <w:iCs/>
          <w:noProof/>
        </w:rPr>
        <w:t>Sci Public Heal</w:t>
      </w:r>
      <w:r w:rsidRPr="0044130C">
        <w:rPr>
          <w:noProof/>
        </w:rPr>
        <w:t>. 2014;19(4).</w:t>
      </w:r>
    </w:p>
    <w:p w:rsidR="0044130C" w:rsidRPr="0044130C" w:rsidRDefault="0044130C">
      <w:pPr>
        <w:pStyle w:val="NormalWeb"/>
        <w:ind w:left="640" w:hanging="640"/>
        <w:divId w:val="1208958146"/>
        <w:rPr>
          <w:noProof/>
        </w:rPr>
      </w:pPr>
      <w:r w:rsidRPr="0044130C">
        <w:rPr>
          <w:noProof/>
        </w:rPr>
        <w:t xml:space="preserve">19. </w:t>
      </w:r>
      <w:r w:rsidRPr="0044130C">
        <w:rPr>
          <w:noProof/>
        </w:rPr>
        <w:tab/>
        <w:t xml:space="preserve">Victora CG, Aquino EM, Do Carmo Leal M, Monteiro CA, Barros FC, Szwarcwald CL. Maternal and child health in Brazil: Progress and challenges. </w:t>
      </w:r>
      <w:r w:rsidRPr="0044130C">
        <w:rPr>
          <w:i/>
          <w:iCs/>
          <w:noProof/>
        </w:rPr>
        <w:t>Lancet</w:t>
      </w:r>
      <w:r w:rsidRPr="0044130C">
        <w:rPr>
          <w:noProof/>
        </w:rPr>
        <w:t>. 2011;377(9780):1863-1876. doi:10.1016/S0140-6736(11)60138-4.</w:t>
      </w:r>
    </w:p>
    <w:p w:rsidR="0044130C" w:rsidRPr="0044130C" w:rsidRDefault="0044130C">
      <w:pPr>
        <w:pStyle w:val="NormalWeb"/>
        <w:ind w:left="640" w:hanging="640"/>
        <w:divId w:val="1208958146"/>
        <w:rPr>
          <w:noProof/>
        </w:rPr>
      </w:pPr>
      <w:r w:rsidRPr="0044130C">
        <w:rPr>
          <w:noProof/>
        </w:rPr>
        <w:t xml:space="preserve">20. </w:t>
      </w:r>
      <w:r w:rsidRPr="0044130C">
        <w:rPr>
          <w:noProof/>
        </w:rPr>
        <w:tab/>
        <w:t xml:space="preserve">Konstantyner T, Warkentin S TJ. Prevalence and determinants of vitamin A deficiency among Brazilian children under 2 years of age from the 2006 National Demographic Health Survey. </w:t>
      </w:r>
      <w:r w:rsidRPr="0044130C">
        <w:rPr>
          <w:i/>
          <w:iCs/>
          <w:noProof/>
        </w:rPr>
        <w:t>Food Nutr Bull</w:t>
      </w:r>
      <w:r w:rsidRPr="0044130C">
        <w:rPr>
          <w:noProof/>
        </w:rPr>
        <w:t>. 2014;35(4):422-430.</w:t>
      </w:r>
    </w:p>
    <w:p w:rsidR="0044130C" w:rsidRPr="0044130C" w:rsidRDefault="0044130C">
      <w:pPr>
        <w:pStyle w:val="NormalWeb"/>
        <w:ind w:left="640" w:hanging="640"/>
        <w:divId w:val="1208958146"/>
        <w:rPr>
          <w:noProof/>
        </w:rPr>
      </w:pPr>
      <w:r w:rsidRPr="0044130C">
        <w:rPr>
          <w:noProof/>
        </w:rPr>
        <w:t xml:space="preserve">21. </w:t>
      </w:r>
      <w:r w:rsidRPr="0044130C">
        <w:rPr>
          <w:noProof/>
        </w:rPr>
        <w:tab/>
        <w:t xml:space="preserve">Macedo M de S, Teixeira RA, Bonomo É, et al. Iodine malnutrition and associated factors in schoolchildren aged 6 to 14 years in a municipality situated in the semiarid region of the state of Minas Gerais, Brazil, 2008. </w:t>
      </w:r>
      <w:r w:rsidRPr="0044130C">
        <w:rPr>
          <w:i/>
          <w:iCs/>
          <w:noProof/>
        </w:rPr>
        <w:t>Food Nutr Sci</w:t>
      </w:r>
      <w:r w:rsidRPr="0044130C">
        <w:rPr>
          <w:noProof/>
        </w:rPr>
        <w:t>. 2014:2008-2019.</w:t>
      </w:r>
    </w:p>
    <w:p w:rsidR="0044130C" w:rsidRPr="0044130C" w:rsidRDefault="0044130C">
      <w:pPr>
        <w:pStyle w:val="NormalWeb"/>
        <w:ind w:left="640" w:hanging="640"/>
        <w:divId w:val="1208958146"/>
        <w:rPr>
          <w:noProof/>
        </w:rPr>
      </w:pPr>
      <w:r w:rsidRPr="0044130C">
        <w:rPr>
          <w:noProof/>
        </w:rPr>
        <w:t xml:space="preserve">22. </w:t>
      </w:r>
      <w:r w:rsidRPr="0044130C">
        <w:rPr>
          <w:noProof/>
        </w:rPr>
        <w:tab/>
        <w:t xml:space="preserve">Rossi AC, Tomimori E, Camargo R, Medeiros-Neto G. Searching for iodine deficiency disorders in schoolchildren from Brazil: the Thyromobil project. </w:t>
      </w:r>
      <w:r w:rsidRPr="0044130C">
        <w:rPr>
          <w:i/>
          <w:iCs/>
          <w:noProof/>
        </w:rPr>
        <w:t>Thyroid</w:t>
      </w:r>
      <w:r w:rsidRPr="0044130C">
        <w:rPr>
          <w:noProof/>
        </w:rPr>
        <w:t>. 2001;11(7):661-663. doi:10.1089/105072501750362727.</w:t>
      </w:r>
    </w:p>
    <w:p w:rsidR="0044130C" w:rsidRPr="0044130C" w:rsidRDefault="0044130C">
      <w:pPr>
        <w:pStyle w:val="NormalWeb"/>
        <w:ind w:left="640" w:hanging="640"/>
        <w:divId w:val="1208958146"/>
        <w:rPr>
          <w:noProof/>
        </w:rPr>
      </w:pPr>
      <w:r w:rsidRPr="0044130C">
        <w:rPr>
          <w:noProof/>
        </w:rPr>
        <w:t xml:space="preserve">23. </w:t>
      </w:r>
      <w:r w:rsidRPr="0044130C">
        <w:rPr>
          <w:noProof/>
        </w:rPr>
        <w:tab/>
        <w:t xml:space="preserve">UNICEF. Statistics: Brazil. 2013. http://www.unicef.org/infobycountry/brazil_statistics.html. Accessed April 10, 2015. </w:t>
      </w:r>
    </w:p>
    <w:p w:rsidR="00635CEB" w:rsidRPr="007E679C" w:rsidRDefault="00635CEB" w:rsidP="007E679C">
      <w:pPr>
        <w:rPr>
          <w:rFonts w:ascii="Times New Roman" w:hAnsi="Times New Roman" w:cs="Times New Roman"/>
          <w:sz w:val="24"/>
          <w:szCs w:val="24"/>
        </w:rPr>
      </w:pPr>
      <w:r>
        <w:rPr>
          <w:rFonts w:ascii="Times New Roman" w:hAnsi="Times New Roman" w:cs="Times New Roman"/>
          <w:sz w:val="24"/>
          <w:szCs w:val="24"/>
        </w:rPr>
        <w:fldChar w:fldCharType="end"/>
      </w:r>
    </w:p>
    <w:sectPr w:rsidR="00635CEB" w:rsidRPr="007E6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21"/>
    <w:rsid w:val="000B09E5"/>
    <w:rsid w:val="00101A78"/>
    <w:rsid w:val="001A4DE6"/>
    <w:rsid w:val="00215E22"/>
    <w:rsid w:val="002201FF"/>
    <w:rsid w:val="0028177B"/>
    <w:rsid w:val="00286E94"/>
    <w:rsid w:val="002A50ED"/>
    <w:rsid w:val="002E457B"/>
    <w:rsid w:val="003719F8"/>
    <w:rsid w:val="00387BA4"/>
    <w:rsid w:val="003E2918"/>
    <w:rsid w:val="0044130C"/>
    <w:rsid w:val="00445508"/>
    <w:rsid w:val="00467694"/>
    <w:rsid w:val="005B69C7"/>
    <w:rsid w:val="005F458D"/>
    <w:rsid w:val="0060711E"/>
    <w:rsid w:val="00635CEB"/>
    <w:rsid w:val="00680803"/>
    <w:rsid w:val="006C28EB"/>
    <w:rsid w:val="00774EC6"/>
    <w:rsid w:val="007E4D8E"/>
    <w:rsid w:val="007E679C"/>
    <w:rsid w:val="00801BE7"/>
    <w:rsid w:val="0083542A"/>
    <w:rsid w:val="00852996"/>
    <w:rsid w:val="008D44A4"/>
    <w:rsid w:val="009414EB"/>
    <w:rsid w:val="00951286"/>
    <w:rsid w:val="00965321"/>
    <w:rsid w:val="00A625A2"/>
    <w:rsid w:val="00A806B4"/>
    <w:rsid w:val="00A9093B"/>
    <w:rsid w:val="00AA41B6"/>
    <w:rsid w:val="00AF0276"/>
    <w:rsid w:val="00AF5949"/>
    <w:rsid w:val="00AF75D5"/>
    <w:rsid w:val="00B654AD"/>
    <w:rsid w:val="00B84E77"/>
    <w:rsid w:val="00D46174"/>
    <w:rsid w:val="00D72058"/>
    <w:rsid w:val="00E904BB"/>
    <w:rsid w:val="00F4341C"/>
    <w:rsid w:val="00F56917"/>
    <w:rsid w:val="00FB50E6"/>
    <w:rsid w:val="00FE0900"/>
    <w:rsid w:val="00FE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860BC-AB20-445D-A083-0FB3E8BF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D8E"/>
    <w:pPr>
      <w:spacing w:after="0" w:line="240" w:lineRule="auto"/>
    </w:pPr>
  </w:style>
  <w:style w:type="paragraph" w:styleId="NormalWeb">
    <w:name w:val="Normal (Web)"/>
    <w:basedOn w:val="Normal"/>
    <w:uiPriority w:val="99"/>
    <w:unhideWhenUsed/>
    <w:rsid w:val="00635CE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A625A2"/>
  </w:style>
  <w:style w:type="character" w:styleId="Hyperlink">
    <w:name w:val="Hyperlink"/>
    <w:basedOn w:val="DefaultParagraphFont"/>
    <w:uiPriority w:val="99"/>
    <w:semiHidden/>
    <w:unhideWhenUsed/>
    <w:rsid w:val="00A625A2"/>
    <w:rPr>
      <w:color w:val="0000FF"/>
      <w:u w:val="single"/>
    </w:rPr>
  </w:style>
  <w:style w:type="character" w:styleId="Strong">
    <w:name w:val="Strong"/>
    <w:basedOn w:val="DefaultParagraphFont"/>
    <w:uiPriority w:val="22"/>
    <w:qFormat/>
    <w:rsid w:val="0083542A"/>
    <w:rPr>
      <w:b/>
      <w:bCs/>
    </w:rPr>
  </w:style>
  <w:style w:type="paragraph" w:styleId="BalloonText">
    <w:name w:val="Balloon Text"/>
    <w:basedOn w:val="Normal"/>
    <w:link w:val="BalloonTextChar"/>
    <w:uiPriority w:val="99"/>
    <w:semiHidden/>
    <w:unhideWhenUsed/>
    <w:rsid w:val="008D44A4"/>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8D44A4"/>
    <w:rPr>
      <w:rFonts w:ascii="Calibri" w:hAnsi="Calibri"/>
      <w:sz w:val="18"/>
      <w:szCs w:val="18"/>
    </w:rPr>
  </w:style>
  <w:style w:type="table" w:styleId="TableGrid">
    <w:name w:val="Table Grid"/>
    <w:basedOn w:val="TableNormal"/>
    <w:uiPriority w:val="39"/>
    <w:rsid w:val="008D4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936427">
      <w:bodyDiv w:val="1"/>
      <w:marLeft w:val="0"/>
      <w:marRight w:val="0"/>
      <w:marTop w:val="0"/>
      <w:marBottom w:val="0"/>
      <w:divBdr>
        <w:top w:val="none" w:sz="0" w:space="0" w:color="auto"/>
        <w:left w:val="none" w:sz="0" w:space="0" w:color="auto"/>
        <w:bottom w:val="none" w:sz="0" w:space="0" w:color="auto"/>
        <w:right w:val="none" w:sz="0" w:space="0" w:color="auto"/>
      </w:divBdr>
    </w:div>
    <w:div w:id="798955347">
      <w:bodyDiv w:val="1"/>
      <w:marLeft w:val="0"/>
      <w:marRight w:val="0"/>
      <w:marTop w:val="0"/>
      <w:marBottom w:val="0"/>
      <w:divBdr>
        <w:top w:val="none" w:sz="0" w:space="0" w:color="auto"/>
        <w:left w:val="none" w:sz="0" w:space="0" w:color="auto"/>
        <w:bottom w:val="none" w:sz="0" w:space="0" w:color="auto"/>
        <w:right w:val="none" w:sz="0" w:space="0" w:color="auto"/>
      </w:divBdr>
    </w:div>
    <w:div w:id="1649748900">
      <w:bodyDiv w:val="1"/>
      <w:marLeft w:val="0"/>
      <w:marRight w:val="0"/>
      <w:marTop w:val="0"/>
      <w:marBottom w:val="0"/>
      <w:divBdr>
        <w:top w:val="none" w:sz="0" w:space="0" w:color="auto"/>
        <w:left w:val="none" w:sz="0" w:space="0" w:color="auto"/>
        <w:bottom w:val="none" w:sz="0" w:space="0" w:color="auto"/>
        <w:right w:val="none" w:sz="0" w:space="0" w:color="auto"/>
      </w:divBdr>
      <w:divsChild>
        <w:div w:id="983121088">
          <w:marLeft w:val="0"/>
          <w:marRight w:val="0"/>
          <w:marTop w:val="0"/>
          <w:marBottom w:val="0"/>
          <w:divBdr>
            <w:top w:val="none" w:sz="0" w:space="0" w:color="auto"/>
            <w:left w:val="none" w:sz="0" w:space="0" w:color="auto"/>
            <w:bottom w:val="none" w:sz="0" w:space="0" w:color="auto"/>
            <w:right w:val="none" w:sz="0" w:space="0" w:color="auto"/>
          </w:divBdr>
          <w:divsChild>
            <w:div w:id="32004158">
              <w:marLeft w:val="0"/>
              <w:marRight w:val="0"/>
              <w:marTop w:val="0"/>
              <w:marBottom w:val="0"/>
              <w:divBdr>
                <w:top w:val="none" w:sz="0" w:space="0" w:color="auto"/>
                <w:left w:val="none" w:sz="0" w:space="0" w:color="auto"/>
                <w:bottom w:val="none" w:sz="0" w:space="0" w:color="auto"/>
                <w:right w:val="none" w:sz="0" w:space="0" w:color="auto"/>
              </w:divBdr>
              <w:divsChild>
                <w:div w:id="641886166">
                  <w:marLeft w:val="0"/>
                  <w:marRight w:val="0"/>
                  <w:marTop w:val="0"/>
                  <w:marBottom w:val="0"/>
                  <w:divBdr>
                    <w:top w:val="none" w:sz="0" w:space="0" w:color="auto"/>
                    <w:left w:val="none" w:sz="0" w:space="0" w:color="auto"/>
                    <w:bottom w:val="none" w:sz="0" w:space="0" w:color="auto"/>
                    <w:right w:val="none" w:sz="0" w:space="0" w:color="auto"/>
                  </w:divBdr>
                  <w:divsChild>
                    <w:div w:id="1080173310">
                      <w:marLeft w:val="0"/>
                      <w:marRight w:val="0"/>
                      <w:marTop w:val="0"/>
                      <w:marBottom w:val="0"/>
                      <w:divBdr>
                        <w:top w:val="none" w:sz="0" w:space="0" w:color="auto"/>
                        <w:left w:val="none" w:sz="0" w:space="0" w:color="auto"/>
                        <w:bottom w:val="none" w:sz="0" w:space="0" w:color="auto"/>
                        <w:right w:val="none" w:sz="0" w:space="0" w:color="auto"/>
                      </w:divBdr>
                      <w:divsChild>
                        <w:div w:id="1388995312">
                          <w:marLeft w:val="0"/>
                          <w:marRight w:val="0"/>
                          <w:marTop w:val="0"/>
                          <w:marBottom w:val="0"/>
                          <w:divBdr>
                            <w:top w:val="none" w:sz="0" w:space="0" w:color="auto"/>
                            <w:left w:val="none" w:sz="0" w:space="0" w:color="auto"/>
                            <w:bottom w:val="none" w:sz="0" w:space="0" w:color="auto"/>
                            <w:right w:val="none" w:sz="0" w:space="0" w:color="auto"/>
                          </w:divBdr>
                          <w:divsChild>
                            <w:div w:id="1344090758">
                              <w:marLeft w:val="0"/>
                              <w:marRight w:val="0"/>
                              <w:marTop w:val="0"/>
                              <w:marBottom w:val="0"/>
                              <w:divBdr>
                                <w:top w:val="none" w:sz="0" w:space="0" w:color="auto"/>
                                <w:left w:val="none" w:sz="0" w:space="0" w:color="auto"/>
                                <w:bottom w:val="none" w:sz="0" w:space="0" w:color="auto"/>
                                <w:right w:val="none" w:sz="0" w:space="0" w:color="auto"/>
                              </w:divBdr>
                              <w:divsChild>
                                <w:div w:id="168371653">
                                  <w:marLeft w:val="0"/>
                                  <w:marRight w:val="0"/>
                                  <w:marTop w:val="0"/>
                                  <w:marBottom w:val="0"/>
                                  <w:divBdr>
                                    <w:top w:val="none" w:sz="0" w:space="0" w:color="auto"/>
                                    <w:left w:val="none" w:sz="0" w:space="0" w:color="auto"/>
                                    <w:bottom w:val="none" w:sz="0" w:space="0" w:color="auto"/>
                                    <w:right w:val="none" w:sz="0" w:space="0" w:color="auto"/>
                                  </w:divBdr>
                                  <w:divsChild>
                                    <w:div w:id="2054697124">
                                      <w:marLeft w:val="0"/>
                                      <w:marRight w:val="0"/>
                                      <w:marTop w:val="0"/>
                                      <w:marBottom w:val="0"/>
                                      <w:divBdr>
                                        <w:top w:val="none" w:sz="0" w:space="0" w:color="auto"/>
                                        <w:left w:val="none" w:sz="0" w:space="0" w:color="auto"/>
                                        <w:bottom w:val="none" w:sz="0" w:space="0" w:color="auto"/>
                                        <w:right w:val="none" w:sz="0" w:space="0" w:color="auto"/>
                                      </w:divBdr>
                                      <w:divsChild>
                                        <w:div w:id="1587036789">
                                          <w:marLeft w:val="0"/>
                                          <w:marRight w:val="0"/>
                                          <w:marTop w:val="0"/>
                                          <w:marBottom w:val="0"/>
                                          <w:divBdr>
                                            <w:top w:val="none" w:sz="0" w:space="0" w:color="auto"/>
                                            <w:left w:val="none" w:sz="0" w:space="0" w:color="auto"/>
                                            <w:bottom w:val="none" w:sz="0" w:space="0" w:color="auto"/>
                                            <w:right w:val="none" w:sz="0" w:space="0" w:color="auto"/>
                                          </w:divBdr>
                                          <w:divsChild>
                                            <w:div w:id="1436514227">
                                              <w:marLeft w:val="0"/>
                                              <w:marRight w:val="0"/>
                                              <w:marTop w:val="0"/>
                                              <w:marBottom w:val="0"/>
                                              <w:divBdr>
                                                <w:top w:val="none" w:sz="0" w:space="0" w:color="auto"/>
                                                <w:left w:val="none" w:sz="0" w:space="0" w:color="auto"/>
                                                <w:bottom w:val="none" w:sz="0" w:space="0" w:color="auto"/>
                                                <w:right w:val="none" w:sz="0" w:space="0" w:color="auto"/>
                                              </w:divBdr>
                                              <w:divsChild>
                                                <w:div w:id="1218778512">
                                                  <w:marLeft w:val="0"/>
                                                  <w:marRight w:val="0"/>
                                                  <w:marTop w:val="0"/>
                                                  <w:marBottom w:val="0"/>
                                                  <w:divBdr>
                                                    <w:top w:val="none" w:sz="0" w:space="0" w:color="auto"/>
                                                    <w:left w:val="none" w:sz="0" w:space="0" w:color="auto"/>
                                                    <w:bottom w:val="none" w:sz="0" w:space="0" w:color="auto"/>
                                                    <w:right w:val="none" w:sz="0" w:space="0" w:color="auto"/>
                                                  </w:divBdr>
                                                  <w:divsChild>
                                                    <w:div w:id="1691026480">
                                                      <w:marLeft w:val="0"/>
                                                      <w:marRight w:val="0"/>
                                                      <w:marTop w:val="0"/>
                                                      <w:marBottom w:val="0"/>
                                                      <w:divBdr>
                                                        <w:top w:val="none" w:sz="0" w:space="0" w:color="auto"/>
                                                        <w:left w:val="none" w:sz="0" w:space="0" w:color="auto"/>
                                                        <w:bottom w:val="none" w:sz="0" w:space="0" w:color="auto"/>
                                                        <w:right w:val="none" w:sz="0" w:space="0" w:color="auto"/>
                                                      </w:divBdr>
                                                      <w:divsChild>
                                                        <w:div w:id="1972972969">
                                                          <w:marLeft w:val="0"/>
                                                          <w:marRight w:val="0"/>
                                                          <w:marTop w:val="0"/>
                                                          <w:marBottom w:val="0"/>
                                                          <w:divBdr>
                                                            <w:top w:val="none" w:sz="0" w:space="0" w:color="auto"/>
                                                            <w:left w:val="none" w:sz="0" w:space="0" w:color="auto"/>
                                                            <w:bottom w:val="none" w:sz="0" w:space="0" w:color="auto"/>
                                                            <w:right w:val="none" w:sz="0" w:space="0" w:color="auto"/>
                                                          </w:divBdr>
                                                          <w:divsChild>
                                                            <w:div w:id="1873956252">
                                                              <w:marLeft w:val="0"/>
                                                              <w:marRight w:val="0"/>
                                                              <w:marTop w:val="0"/>
                                                              <w:marBottom w:val="0"/>
                                                              <w:divBdr>
                                                                <w:top w:val="none" w:sz="0" w:space="0" w:color="auto"/>
                                                                <w:left w:val="none" w:sz="0" w:space="0" w:color="auto"/>
                                                                <w:bottom w:val="none" w:sz="0" w:space="0" w:color="auto"/>
                                                                <w:right w:val="none" w:sz="0" w:space="0" w:color="auto"/>
                                                              </w:divBdr>
                                                              <w:divsChild>
                                                                <w:div w:id="680818257">
                                                                  <w:marLeft w:val="0"/>
                                                                  <w:marRight w:val="0"/>
                                                                  <w:marTop w:val="0"/>
                                                                  <w:marBottom w:val="0"/>
                                                                  <w:divBdr>
                                                                    <w:top w:val="none" w:sz="0" w:space="0" w:color="auto"/>
                                                                    <w:left w:val="none" w:sz="0" w:space="0" w:color="auto"/>
                                                                    <w:bottom w:val="none" w:sz="0" w:space="0" w:color="auto"/>
                                                                    <w:right w:val="none" w:sz="0" w:space="0" w:color="auto"/>
                                                                  </w:divBdr>
                                                                  <w:divsChild>
                                                                    <w:div w:id="1435859057">
                                                                      <w:marLeft w:val="0"/>
                                                                      <w:marRight w:val="0"/>
                                                                      <w:marTop w:val="0"/>
                                                                      <w:marBottom w:val="0"/>
                                                                      <w:divBdr>
                                                                        <w:top w:val="none" w:sz="0" w:space="0" w:color="auto"/>
                                                                        <w:left w:val="none" w:sz="0" w:space="0" w:color="auto"/>
                                                                        <w:bottom w:val="none" w:sz="0" w:space="0" w:color="auto"/>
                                                                        <w:right w:val="none" w:sz="0" w:space="0" w:color="auto"/>
                                                                      </w:divBdr>
                                                                      <w:divsChild>
                                                                        <w:div w:id="723136599">
                                                                          <w:marLeft w:val="0"/>
                                                                          <w:marRight w:val="0"/>
                                                                          <w:marTop w:val="0"/>
                                                                          <w:marBottom w:val="0"/>
                                                                          <w:divBdr>
                                                                            <w:top w:val="none" w:sz="0" w:space="0" w:color="auto"/>
                                                                            <w:left w:val="none" w:sz="0" w:space="0" w:color="auto"/>
                                                                            <w:bottom w:val="none" w:sz="0" w:space="0" w:color="auto"/>
                                                                            <w:right w:val="none" w:sz="0" w:space="0" w:color="auto"/>
                                                                          </w:divBdr>
                                                                          <w:divsChild>
                                                                            <w:div w:id="973949112">
                                                                              <w:marLeft w:val="0"/>
                                                                              <w:marRight w:val="0"/>
                                                                              <w:marTop w:val="0"/>
                                                                              <w:marBottom w:val="0"/>
                                                                              <w:divBdr>
                                                                                <w:top w:val="none" w:sz="0" w:space="0" w:color="auto"/>
                                                                                <w:left w:val="none" w:sz="0" w:space="0" w:color="auto"/>
                                                                                <w:bottom w:val="none" w:sz="0" w:space="0" w:color="auto"/>
                                                                                <w:right w:val="none" w:sz="0" w:space="0" w:color="auto"/>
                                                                              </w:divBdr>
                                                                              <w:divsChild>
                                                                                <w:div w:id="2033415488">
                                                                                  <w:marLeft w:val="0"/>
                                                                                  <w:marRight w:val="0"/>
                                                                                  <w:marTop w:val="0"/>
                                                                                  <w:marBottom w:val="0"/>
                                                                                  <w:divBdr>
                                                                                    <w:top w:val="none" w:sz="0" w:space="0" w:color="auto"/>
                                                                                    <w:left w:val="none" w:sz="0" w:space="0" w:color="auto"/>
                                                                                    <w:bottom w:val="none" w:sz="0" w:space="0" w:color="auto"/>
                                                                                    <w:right w:val="none" w:sz="0" w:space="0" w:color="auto"/>
                                                                                  </w:divBdr>
                                                                                  <w:divsChild>
                                                                                    <w:div w:id="1137382068">
                                                                                      <w:marLeft w:val="0"/>
                                                                                      <w:marRight w:val="0"/>
                                                                                      <w:marTop w:val="0"/>
                                                                                      <w:marBottom w:val="0"/>
                                                                                      <w:divBdr>
                                                                                        <w:top w:val="none" w:sz="0" w:space="0" w:color="auto"/>
                                                                                        <w:left w:val="none" w:sz="0" w:space="0" w:color="auto"/>
                                                                                        <w:bottom w:val="none" w:sz="0" w:space="0" w:color="auto"/>
                                                                                        <w:right w:val="none" w:sz="0" w:space="0" w:color="auto"/>
                                                                                      </w:divBdr>
                                                                                      <w:divsChild>
                                                                                        <w:div w:id="784689096">
                                                                                          <w:marLeft w:val="0"/>
                                                                                          <w:marRight w:val="0"/>
                                                                                          <w:marTop w:val="0"/>
                                                                                          <w:marBottom w:val="0"/>
                                                                                          <w:divBdr>
                                                                                            <w:top w:val="none" w:sz="0" w:space="0" w:color="auto"/>
                                                                                            <w:left w:val="none" w:sz="0" w:space="0" w:color="auto"/>
                                                                                            <w:bottom w:val="none" w:sz="0" w:space="0" w:color="auto"/>
                                                                                            <w:right w:val="none" w:sz="0" w:space="0" w:color="auto"/>
                                                                                          </w:divBdr>
                                                                                          <w:divsChild>
                                                                                            <w:div w:id="1418137126">
                                                                                              <w:marLeft w:val="0"/>
                                                                                              <w:marRight w:val="0"/>
                                                                                              <w:marTop w:val="0"/>
                                                                                              <w:marBottom w:val="0"/>
                                                                                              <w:divBdr>
                                                                                                <w:top w:val="none" w:sz="0" w:space="0" w:color="auto"/>
                                                                                                <w:left w:val="none" w:sz="0" w:space="0" w:color="auto"/>
                                                                                                <w:bottom w:val="none" w:sz="0" w:space="0" w:color="auto"/>
                                                                                                <w:right w:val="none" w:sz="0" w:space="0" w:color="auto"/>
                                                                                              </w:divBdr>
                                                                                              <w:divsChild>
                                                                                                <w:div w:id="1082527614">
                                                                                                  <w:marLeft w:val="0"/>
                                                                                                  <w:marRight w:val="0"/>
                                                                                                  <w:marTop w:val="0"/>
                                                                                                  <w:marBottom w:val="0"/>
                                                                                                  <w:divBdr>
                                                                                                    <w:top w:val="none" w:sz="0" w:space="0" w:color="auto"/>
                                                                                                    <w:left w:val="none" w:sz="0" w:space="0" w:color="auto"/>
                                                                                                    <w:bottom w:val="none" w:sz="0" w:space="0" w:color="auto"/>
                                                                                                    <w:right w:val="none" w:sz="0" w:space="0" w:color="auto"/>
                                                                                                  </w:divBdr>
                                                                                                  <w:divsChild>
                                                                                                    <w:div w:id="1357806817">
                                                                                                      <w:marLeft w:val="0"/>
                                                                                                      <w:marRight w:val="0"/>
                                                                                                      <w:marTop w:val="0"/>
                                                                                                      <w:marBottom w:val="0"/>
                                                                                                      <w:divBdr>
                                                                                                        <w:top w:val="none" w:sz="0" w:space="0" w:color="auto"/>
                                                                                                        <w:left w:val="none" w:sz="0" w:space="0" w:color="auto"/>
                                                                                                        <w:bottom w:val="none" w:sz="0" w:space="0" w:color="auto"/>
                                                                                                        <w:right w:val="none" w:sz="0" w:space="0" w:color="auto"/>
                                                                                                      </w:divBdr>
                                                                                                      <w:divsChild>
                                                                                                        <w:div w:id="301929734">
                                                                                                          <w:marLeft w:val="0"/>
                                                                                                          <w:marRight w:val="0"/>
                                                                                                          <w:marTop w:val="0"/>
                                                                                                          <w:marBottom w:val="0"/>
                                                                                                          <w:divBdr>
                                                                                                            <w:top w:val="none" w:sz="0" w:space="0" w:color="auto"/>
                                                                                                            <w:left w:val="none" w:sz="0" w:space="0" w:color="auto"/>
                                                                                                            <w:bottom w:val="none" w:sz="0" w:space="0" w:color="auto"/>
                                                                                                            <w:right w:val="none" w:sz="0" w:space="0" w:color="auto"/>
                                                                                                          </w:divBdr>
                                                                                                          <w:divsChild>
                                                                                                            <w:div w:id="394624777">
                                                                                                              <w:marLeft w:val="0"/>
                                                                                                              <w:marRight w:val="0"/>
                                                                                                              <w:marTop w:val="0"/>
                                                                                                              <w:marBottom w:val="0"/>
                                                                                                              <w:divBdr>
                                                                                                                <w:top w:val="none" w:sz="0" w:space="0" w:color="auto"/>
                                                                                                                <w:left w:val="none" w:sz="0" w:space="0" w:color="auto"/>
                                                                                                                <w:bottom w:val="none" w:sz="0" w:space="0" w:color="auto"/>
                                                                                                                <w:right w:val="none" w:sz="0" w:space="0" w:color="auto"/>
                                                                                                              </w:divBdr>
                                                                                                              <w:divsChild>
                                                                                                                <w:div w:id="644361910">
                                                                                                                  <w:marLeft w:val="0"/>
                                                                                                                  <w:marRight w:val="0"/>
                                                                                                                  <w:marTop w:val="0"/>
                                                                                                                  <w:marBottom w:val="0"/>
                                                                                                                  <w:divBdr>
                                                                                                                    <w:top w:val="none" w:sz="0" w:space="0" w:color="auto"/>
                                                                                                                    <w:left w:val="none" w:sz="0" w:space="0" w:color="auto"/>
                                                                                                                    <w:bottom w:val="none" w:sz="0" w:space="0" w:color="auto"/>
                                                                                                                    <w:right w:val="none" w:sz="0" w:space="0" w:color="auto"/>
                                                                                                                  </w:divBdr>
                                                                                                                  <w:divsChild>
                                                                                                                    <w:div w:id="1570117249">
                                                                                                                      <w:marLeft w:val="0"/>
                                                                                                                      <w:marRight w:val="0"/>
                                                                                                                      <w:marTop w:val="0"/>
                                                                                                                      <w:marBottom w:val="0"/>
                                                                                                                      <w:divBdr>
                                                                                                                        <w:top w:val="none" w:sz="0" w:space="0" w:color="auto"/>
                                                                                                                        <w:left w:val="none" w:sz="0" w:space="0" w:color="auto"/>
                                                                                                                        <w:bottom w:val="none" w:sz="0" w:space="0" w:color="auto"/>
                                                                                                                        <w:right w:val="none" w:sz="0" w:space="0" w:color="auto"/>
                                                                                                                      </w:divBdr>
                                                                                                                      <w:divsChild>
                                                                                                                        <w:div w:id="116874833">
                                                                                                                          <w:marLeft w:val="0"/>
                                                                                                                          <w:marRight w:val="0"/>
                                                                                                                          <w:marTop w:val="0"/>
                                                                                                                          <w:marBottom w:val="0"/>
                                                                                                                          <w:divBdr>
                                                                                                                            <w:top w:val="none" w:sz="0" w:space="0" w:color="auto"/>
                                                                                                                            <w:left w:val="none" w:sz="0" w:space="0" w:color="auto"/>
                                                                                                                            <w:bottom w:val="none" w:sz="0" w:space="0" w:color="auto"/>
                                                                                                                            <w:right w:val="none" w:sz="0" w:space="0" w:color="auto"/>
                                                                                                                          </w:divBdr>
                                                                                                                          <w:divsChild>
                                                                                                                            <w:div w:id="1500385677">
                                                                                                                              <w:marLeft w:val="0"/>
                                                                                                                              <w:marRight w:val="0"/>
                                                                                                                              <w:marTop w:val="0"/>
                                                                                                                              <w:marBottom w:val="0"/>
                                                                                                                              <w:divBdr>
                                                                                                                                <w:top w:val="none" w:sz="0" w:space="0" w:color="auto"/>
                                                                                                                                <w:left w:val="none" w:sz="0" w:space="0" w:color="auto"/>
                                                                                                                                <w:bottom w:val="none" w:sz="0" w:space="0" w:color="auto"/>
                                                                                                                                <w:right w:val="none" w:sz="0" w:space="0" w:color="auto"/>
                                                                                                                              </w:divBdr>
                                                                                                                              <w:divsChild>
                                                                                                                                <w:div w:id="1180656276">
                                                                                                                                  <w:marLeft w:val="0"/>
                                                                                                                                  <w:marRight w:val="0"/>
                                                                                                                                  <w:marTop w:val="0"/>
                                                                                                                                  <w:marBottom w:val="0"/>
                                                                                                                                  <w:divBdr>
                                                                                                                                    <w:top w:val="none" w:sz="0" w:space="0" w:color="auto"/>
                                                                                                                                    <w:left w:val="none" w:sz="0" w:space="0" w:color="auto"/>
                                                                                                                                    <w:bottom w:val="none" w:sz="0" w:space="0" w:color="auto"/>
                                                                                                                                    <w:right w:val="none" w:sz="0" w:space="0" w:color="auto"/>
                                                                                                                                  </w:divBdr>
                                                                                                                                  <w:divsChild>
                                                                                                                                    <w:div w:id="883715384">
                                                                                                                                      <w:marLeft w:val="0"/>
                                                                                                                                      <w:marRight w:val="0"/>
                                                                                                                                      <w:marTop w:val="0"/>
                                                                                                                                      <w:marBottom w:val="0"/>
                                                                                                                                      <w:divBdr>
                                                                                                                                        <w:top w:val="none" w:sz="0" w:space="0" w:color="auto"/>
                                                                                                                                        <w:left w:val="none" w:sz="0" w:space="0" w:color="auto"/>
                                                                                                                                        <w:bottom w:val="none" w:sz="0" w:space="0" w:color="auto"/>
                                                                                                                                        <w:right w:val="none" w:sz="0" w:space="0" w:color="auto"/>
                                                                                                                                      </w:divBdr>
                                                                                                                                      <w:divsChild>
                                                                                                                                        <w:div w:id="1567110734">
                                                                                                                                          <w:marLeft w:val="0"/>
                                                                                                                                          <w:marRight w:val="0"/>
                                                                                                                                          <w:marTop w:val="0"/>
                                                                                                                                          <w:marBottom w:val="0"/>
                                                                                                                                          <w:divBdr>
                                                                                                                                            <w:top w:val="none" w:sz="0" w:space="0" w:color="auto"/>
                                                                                                                                            <w:left w:val="none" w:sz="0" w:space="0" w:color="auto"/>
                                                                                                                                            <w:bottom w:val="none" w:sz="0" w:space="0" w:color="auto"/>
                                                                                                                                            <w:right w:val="none" w:sz="0" w:space="0" w:color="auto"/>
                                                                                                                                          </w:divBdr>
                                                                                                                                          <w:divsChild>
                                                                                                                                            <w:div w:id="654724151">
                                                                                                                                              <w:marLeft w:val="0"/>
                                                                                                                                              <w:marRight w:val="0"/>
                                                                                                                                              <w:marTop w:val="0"/>
                                                                                                                                              <w:marBottom w:val="0"/>
                                                                                                                                              <w:divBdr>
                                                                                                                                                <w:top w:val="none" w:sz="0" w:space="0" w:color="auto"/>
                                                                                                                                                <w:left w:val="none" w:sz="0" w:space="0" w:color="auto"/>
                                                                                                                                                <w:bottom w:val="none" w:sz="0" w:space="0" w:color="auto"/>
                                                                                                                                                <w:right w:val="none" w:sz="0" w:space="0" w:color="auto"/>
                                                                                                                                              </w:divBdr>
                                                                                                                                              <w:divsChild>
                                                                                                                                                <w:div w:id="1093671222">
                                                                                                                                                  <w:marLeft w:val="0"/>
                                                                                                                                                  <w:marRight w:val="0"/>
                                                                                                                                                  <w:marTop w:val="0"/>
                                                                                                                                                  <w:marBottom w:val="0"/>
                                                                                                                                                  <w:divBdr>
                                                                                                                                                    <w:top w:val="none" w:sz="0" w:space="0" w:color="auto"/>
                                                                                                                                                    <w:left w:val="none" w:sz="0" w:space="0" w:color="auto"/>
                                                                                                                                                    <w:bottom w:val="none" w:sz="0" w:space="0" w:color="auto"/>
                                                                                                                                                    <w:right w:val="none" w:sz="0" w:space="0" w:color="auto"/>
                                                                                                                                                  </w:divBdr>
                                                                                                                                                  <w:divsChild>
                                                                                                                                                    <w:div w:id="12089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F8D4D-143E-474E-836C-A962A5D4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9</Pages>
  <Words>2368</Words>
  <Characters>12854</Characters>
  <Application>Microsoft Office Word</Application>
  <DocSecurity>0</DocSecurity>
  <Lines>522</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cp:lastPrinted>2015-04-13T05:58:00Z</cp:lastPrinted>
  <dcterms:created xsi:type="dcterms:W3CDTF">2015-04-14T05:42:00Z</dcterms:created>
  <dcterms:modified xsi:type="dcterms:W3CDTF">2015-04-14T15:21:00Z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anna.e.bondy@gmail.com@www.mendeley.com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